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rPr>
        <w:sectPr>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56192;mso-width-relative:page;mso-height-relative:page;" filled="f" stroked="f" coordsize="21600,21600">
            <v:path/>
            <v:fill on="f" focussize="0,0"/>
            <v:stroke on="f" joinstyle="miter"/>
            <v:imagedata o:title=""/>
            <o:lock v:ext="edit"/>
            <v:textbox style="mso-fit-shape-to-text:t;">
              <w:txbxContent>
                <w:p>
                  <w:pPr>
                    <w:jc w:val="center"/>
                    <w:rPr>
                      <w:rFonts w:ascii="楷体_GB2312" w:hAnsi="楷体_GB2312" w:eastAsia="楷体_GB2312" w:cs="Times New Roman"/>
                      <w:color w:val="000000"/>
                      <w:kern w:val="0"/>
                      <w:sz w:val="44"/>
                      <w:szCs w:val="44"/>
                    </w:rPr>
                  </w:pPr>
                  <w:r>
                    <w:rPr>
                      <w:rFonts w:hint="eastAsia" w:ascii="楷体_GB2312" w:hAnsi="楷体_GB2312" w:eastAsia="楷体_GB2312" w:cs="楷体_GB2312"/>
                      <w:color w:val="000000"/>
                      <w:kern w:val="0"/>
                      <w:sz w:val="44"/>
                      <w:szCs w:val="44"/>
                    </w:rPr>
                    <w:t>二〇二〇年八月</w:t>
                  </w:r>
                </w:p>
              </w:txbxContent>
            </v:textbox>
          </v:shape>
        </w:pict>
      </w:r>
      <w:r>
        <w:pict>
          <v:shape id="椭圆 8" o:spid="_x0000_s1027" o:spt="3" type="#_x0000_t3" style="position:absolute;left:0pt;margin-left:53.5pt;margin-top:232.45pt;height:121.95pt;width:121.95pt;z-index:251653120;v-text-anchor:middle;mso-width-relative:page;mso-height-relative:page;" stroked="f" coordsize="21600,21600">
            <v:path/>
            <v:fill focussize="0,0"/>
            <v:stroke on="f" weight="1pt" joinstyle="miter"/>
            <v:imagedata o:title=""/>
            <o:lock v:ext="edit"/>
            <v:textbox>
              <w:txbxContent>
                <w:p/>
              </w:txbxContent>
            </v:textbox>
          </v:shape>
        </w:pict>
      </w:r>
      <w:r>
        <w:pict>
          <v:rect id="矩形 14" o:spid="_x0000_s1028" o:spt="1" style="position:absolute;left:0pt;margin-left:33.6pt;margin-top:256.75pt;height:69.6pt;width:160.65pt;z-index:251658240;mso-width-relative:page;mso-height-relative:page;" filled="f" stroked="f" coordsize="21600,21600">
            <v:path/>
            <v:fill on="f" focussize="0,0"/>
            <v:stroke on="f"/>
            <v:imagedata o:title=""/>
            <o:lock v:ext="edit"/>
            <v:textbox style="mso-fit-shape-to-text:t;">
              <w:txbxContent>
                <w:p>
                  <w:pPr>
                    <w:spacing w:line="360" w:lineRule="auto"/>
                    <w:jc w:val="center"/>
                    <w:rPr>
                      <w:rFonts w:cs="Times New Roman"/>
                      <w:kern w:val="0"/>
                      <w:sz w:val="28"/>
                      <w:szCs w:val="28"/>
                    </w:rPr>
                  </w:pPr>
                  <w:r>
                    <w:rPr>
                      <w:rFonts w:ascii="Yu Gothic UI Semibold" w:hAnsi="Yu Gothic UI Semibold" w:eastAsia="宋体" w:cs="Yu Gothic UI Semibold"/>
                      <w:color w:val="FFFFFF"/>
                      <w:kern w:val="24"/>
                      <w:sz w:val="72"/>
                      <w:szCs w:val="72"/>
                    </w:rPr>
                    <w:t>2019</w:t>
                  </w:r>
                </w:p>
              </w:txbxContent>
            </v:textbox>
          </v:rect>
        </w:pict>
      </w:r>
      <w:r>
        <w:pict>
          <v:shape id="椭圆 9" o:spid="_x0000_s1029" o:spt="3" type="#_x0000_t3" style="position:absolute;left:0pt;margin-left:62.2pt;margin-top:242.75pt;height:103.45pt;width:103.45pt;z-index:251657216;v-text-anchor:middle;mso-width-relative:page;mso-height-relative:page;" fillcolor="#1F2959" filled="t" stroked="f" coordsize="21600,21600">
            <v:path/>
            <v:fill on="t" focussize="0,0"/>
            <v:stroke on="f" weight="1pt" joinstyle="miter"/>
            <v:imagedata o:title=""/>
            <o:lock v:ext="edit"/>
            <v:textbox>
              <w:txbxContent>
                <w:p/>
              </w:txbxContent>
            </v:textbox>
          </v:shape>
        </w:pict>
      </w:r>
      <w:r>
        <w:pict>
          <v:group id="_x0000_s1030" o:spid="_x0000_s1030" o:spt="203" style="position:absolute;left:0pt;margin-left:1.25pt;margin-top:821.7pt;height:21.45pt;width:595.25pt;z-index:251654144;mso-width-relative:page;mso-height-relative:page;" coordorigin="1483,16692" coordsize="11905,429">
            <o:lock v:ext="edit"/>
            <v:rect id="矩形 6" o:spid="_x0000_s1031" o:spt="1" style="position:absolute;left:1483;top:16692;height:428;width:1125;v-text-anchor:middle;" fillcolor="#FDBC11" filled="t" stroked="f" coordsize="21600,21600">
              <v:path/>
              <v:fill on="t" focussize="0,0"/>
              <v:stroke on="f" weight="1pt"/>
              <v:imagedata o:title=""/>
              <o:lock v:ext="edit"/>
            </v:rect>
            <v:rect id="矩形 7" o:spid="_x0000_s1032" o:spt="1" style="position:absolute;left:2608;top:16693;height:428;width:10780;v-text-anchor:middle;" fillcolor="#1F2959" filled="t" stroked="f" coordsize="21600,21600">
              <v:path/>
              <v:fill on="t" focussize="0,0"/>
              <v:stroke on="f" weight="1pt"/>
              <v:imagedata o:title=""/>
              <o:lock v:ext="edit"/>
            </v:rect>
          </v:group>
        </w:pict>
      </w:r>
      <w:r>
        <w:pict>
          <v:group id="_x0000_s1033" o:spid="_x0000_s1033" o:spt="203" style="position:absolute;left:0pt;margin-left:-2.5pt;margin-top:0pt;height:308.5pt;width:600.25pt;z-index:-251665408;mso-width-relative:page;mso-height-relative:page;" coordorigin="13622,283" coordsize="12005,6170">
            <o:lock v:ext="edit"/>
            <v:rect id="矩形 5" o:spid="_x0000_s1034" o:spt="1" style="position:absolute;left:13622;top:283;height:6170;width:12005;v-text-anchor:middle;" fillcolor="#FDBC11" filled="t" stroked="f" coordsize="21600,21600">
              <v:path/>
              <v:fill on="t" focussize="0,0"/>
              <v:stroke on="f" weight="1pt"/>
              <v:imagedata o:title=""/>
              <o:lock v:ext="edit"/>
            </v:rect>
            <v:shape id="_x0000_s1035" o:spid="_x0000_s1035" o:spt="202" type="#_x0000_t202" style="position:absolute;left:17229;top:5021;height:1392;width:8083;" filled="f" stroked="f" coordsize="21600,21600">
              <v:path/>
              <v:fill on="f" focussize="0,0"/>
              <v:stroke on="f" joinstyle="miter"/>
              <v:imagedata o:title=""/>
              <o:lock v:ext="edit"/>
              <v:textbox style="mso-fit-shape-to-text:t;">
                <w:txbxContent>
                  <w:p>
                    <w:pPr>
                      <w:jc w:val="left"/>
                      <w:rPr>
                        <w:rFonts w:cs="Times New Roman"/>
                        <w:color w:val="000000"/>
                        <w:kern w:val="0"/>
                        <w:sz w:val="92"/>
                        <w:szCs w:val="92"/>
                      </w:rPr>
                    </w:pPr>
                    <w:r>
                      <w:rPr>
                        <w:rFonts w:hint="eastAsia" w:ascii="思源黑体 HW Bold" w:hAnsi="思源黑体 HW Bold" w:eastAsia="思源黑体 HW Bold" w:cs="思源黑体 HW Bold"/>
                        <w:color w:val="000000"/>
                        <w:kern w:val="24"/>
                        <w:sz w:val="92"/>
                        <w:szCs w:val="92"/>
                      </w:rPr>
                      <w:t>部门决算公开文本</w:t>
                    </w:r>
                  </w:p>
                </w:txbxContent>
              </v:textbox>
            </v:shape>
          </v:group>
        </w:pict>
      </w:r>
      <w:r>
        <w:pict>
          <v:rect id="矩形 11" o:spid="_x0000_s1036" o:spt="1" style="position:absolute;left:0pt;margin-left:184.75pt;margin-top:286.6pt;height:31.25pt;width:339.65pt;mso-wrap-style:none;z-index:251655168;mso-width-relative:page;mso-height-relative:page;" filled="f" stroked="f" coordsize="21600,21600">
            <v:path/>
            <v:fill on="f" focussize="0,0"/>
            <v:stroke on="f"/>
            <v:imagedata o:title=""/>
            <o:lock v:ext="edit"/>
            <v:textbox style="mso-fit-shape-to-text:t;">
              <w:txbxContent>
                <w:p>
                  <w:pPr>
                    <w:rPr>
                      <w:rFonts w:cs="Times New Roman"/>
                    </w:rPr>
                  </w:pPr>
                </w:p>
              </w:txbxContent>
            </v:textbox>
          </v:rect>
        </w:pict>
      </w:r>
    </w:p>
    <w:p>
      <w:pPr>
        <w:rPr>
          <w:rFonts w:cs="Times New Roman"/>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rPr>
          <w:rFonts w:ascii="黑体" w:hAnsi="Times New Roman" w:eastAsia="黑体" w:cs="Times New Roman"/>
          <w:sz w:val="48"/>
          <w:szCs w:val="48"/>
        </w:rPr>
      </w:pPr>
      <w:r>
        <w:rPr>
          <w:rFonts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ascii="黑体" w:hAnsi="Times New Roman" w:eastAsia="黑体" w:cs="Times New Roman"/>
          <w:sz w:val="48"/>
          <w:szCs w:val="48"/>
        </w:rPr>
        <w:tab/>
      </w:r>
    </w:p>
    <w:p>
      <w:pPr>
        <w:rPr>
          <w:rFonts w:ascii="黑体" w:hAnsi="黑体" w:eastAsia="黑体" w:cs="Times New Roman"/>
          <w:sz w:val="56"/>
          <w:szCs w:val="56"/>
        </w:rPr>
      </w:pPr>
    </w:p>
    <w:p>
      <w:pPr>
        <w:rPr>
          <w:rFonts w:ascii="黑体" w:hAnsi="黑体" w:eastAsia="黑体" w:cs="Times New Roman"/>
          <w:b/>
          <w:bCs/>
          <w:sz w:val="72"/>
          <w:szCs w:val="72"/>
        </w:rPr>
      </w:pPr>
      <w:r>
        <w:rPr>
          <w:rFonts w:ascii="黑体" w:hAnsi="黑体" w:eastAsia="黑体" w:cs="黑体"/>
          <w:b/>
          <w:bCs/>
          <w:sz w:val="72"/>
          <w:szCs w:val="72"/>
        </w:rPr>
        <w:t>2019</w:t>
      </w:r>
      <w:r>
        <w:rPr>
          <w:rFonts w:hint="eastAsia" w:ascii="黑体" w:hAnsi="黑体" w:eastAsia="黑体" w:cs="黑体"/>
          <w:b/>
          <w:bCs/>
          <w:sz w:val="72"/>
          <w:szCs w:val="72"/>
        </w:rPr>
        <w:t>年度部门决算公开文本</w:t>
      </w:r>
    </w:p>
    <w:p>
      <w:pPr>
        <w:spacing w:line="360" w:lineRule="auto"/>
        <w:jc w:val="center"/>
        <w:rPr>
          <w:rFonts w:ascii="黑体" w:hAnsi="黑体" w:eastAsia="黑体" w:cs="Times New Roman"/>
          <w:sz w:val="56"/>
          <w:szCs w:val="56"/>
        </w:rPr>
      </w:pPr>
    </w:p>
    <w:p>
      <w:pPr>
        <w:spacing w:line="600" w:lineRule="auto"/>
        <w:jc w:val="center"/>
        <w:rPr>
          <w:rFonts w:ascii="黑体" w:hAnsi="黑体" w:eastAsia="黑体" w:cs="Times New Roman"/>
          <w:sz w:val="56"/>
          <w:szCs w:val="56"/>
        </w:rPr>
      </w:pPr>
    </w:p>
    <w:p>
      <w:pPr>
        <w:spacing w:line="600" w:lineRule="auto"/>
        <w:jc w:val="center"/>
        <w:rPr>
          <w:rFonts w:ascii="黑体" w:hAnsi="黑体" w:eastAsia="黑体" w:cs="Times New Roman"/>
          <w:sz w:val="56"/>
          <w:szCs w:val="56"/>
        </w:rPr>
      </w:pPr>
    </w:p>
    <w:p>
      <w:pPr>
        <w:spacing w:line="600" w:lineRule="auto"/>
        <w:jc w:val="center"/>
        <w:rPr>
          <w:rFonts w:ascii="黑体" w:hAnsi="黑体" w:eastAsia="黑体" w:cs="Times New Roman"/>
          <w:sz w:val="56"/>
          <w:szCs w:val="56"/>
        </w:rPr>
      </w:pPr>
    </w:p>
    <w:p>
      <w:pPr>
        <w:spacing w:line="600" w:lineRule="auto"/>
        <w:jc w:val="center"/>
        <w:rPr>
          <w:rFonts w:ascii="黑体" w:hAnsi="黑体" w:eastAsia="黑体" w:cs="Times New Roman"/>
          <w:sz w:val="56"/>
          <w:szCs w:val="56"/>
        </w:rPr>
      </w:pPr>
    </w:p>
    <w:p>
      <w:pPr>
        <w:spacing w:line="480" w:lineRule="auto"/>
        <w:jc w:val="center"/>
        <w:rPr>
          <w:rFonts w:ascii="黑体" w:hAnsi="黑体" w:eastAsia="黑体" w:cs="Times New Roman"/>
          <w:sz w:val="56"/>
          <w:szCs w:val="56"/>
        </w:rPr>
      </w:pPr>
    </w:p>
    <w:p>
      <w:pPr>
        <w:spacing w:line="480" w:lineRule="auto"/>
        <w:jc w:val="center"/>
        <w:rPr>
          <w:rFonts w:ascii="黑体" w:hAnsi="黑体" w:eastAsia="黑体" w:cs="Times New Roman"/>
          <w:sz w:val="56"/>
          <w:szCs w:val="56"/>
        </w:rPr>
      </w:pPr>
    </w:p>
    <w:p>
      <w:pPr>
        <w:spacing w:line="480" w:lineRule="auto"/>
        <w:jc w:val="center"/>
        <w:rPr>
          <w:rFonts w:ascii="黑体" w:hAnsi="黑体" w:eastAsia="黑体" w:cs="Times New Roman"/>
          <w:sz w:val="56"/>
          <w:szCs w:val="56"/>
        </w:rPr>
      </w:pPr>
    </w:p>
    <w:p>
      <w:pPr>
        <w:snapToGrid w:val="0"/>
        <w:jc w:val="center"/>
        <w:rPr>
          <w:rFonts w:ascii="楷体_GB2312" w:hAnsi="楷体_GB2312" w:eastAsia="楷体_GB2312" w:cs="Times New Roman"/>
          <w:color w:val="000000"/>
          <w:kern w:val="0"/>
          <w:sz w:val="44"/>
          <w:szCs w:val="44"/>
        </w:rPr>
      </w:pPr>
      <w:r>
        <w:rPr>
          <w:rFonts w:hint="eastAsia" w:ascii="楷体_GB2312" w:hAnsi="楷体_GB2312" w:eastAsia="楷体_GB2312" w:cs="楷体_GB2312"/>
          <w:color w:val="000000"/>
          <w:kern w:val="0"/>
          <w:sz w:val="44"/>
          <w:szCs w:val="44"/>
        </w:rPr>
        <w:t>保定市清苑区纪律检查委员会</w:t>
      </w:r>
    </w:p>
    <w:p>
      <w:pPr>
        <w:snapToGrid w:val="0"/>
        <w:jc w:val="center"/>
        <w:rPr>
          <w:rFonts w:ascii="楷体_GB2312" w:hAnsi="楷体_GB2312" w:eastAsia="楷体_GB2312" w:cs="Times New Roman"/>
          <w:color w:val="000000"/>
          <w:kern w:val="0"/>
          <w:sz w:val="44"/>
          <w:szCs w:val="44"/>
        </w:rPr>
        <w:sectPr>
          <w:headerReference r:id="rId4" w:type="first"/>
          <w:footerReference r:id="rId5" w:type="first"/>
          <w:headerReference r:id="rId3"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kern w:val="0"/>
          <w:sz w:val="44"/>
          <w:szCs w:val="44"/>
        </w:rPr>
        <w:t>二〇二〇年八月</w:t>
      </w:r>
    </w:p>
    <w:p>
      <w:pPr>
        <w:widowControl/>
        <w:spacing w:line="600" w:lineRule="exact"/>
        <w:jc w:val="left"/>
        <w:rPr>
          <w:rFonts w:ascii="黑体" w:hAnsi="黑体" w:eastAsia="黑体" w:cs="Times New Roman"/>
          <w:sz w:val="32"/>
          <w:szCs w:val="32"/>
          <w:highlight w:val="yellow"/>
        </w:rPr>
      </w:pPr>
    </w:p>
    <w:p>
      <w:pPr>
        <w:rPr>
          <w:rFonts w:ascii="黑体" w:hAnsi="Times New Roman" w:eastAsia="黑体" w:cs="Times New Roman"/>
          <w:sz w:val="48"/>
          <w:szCs w:val="48"/>
        </w:rPr>
      </w:pPr>
      <w:r>
        <w:rPr>
          <w:rFonts w:ascii="黑体" w:hAnsi="Times New Roman" w:eastAsia="黑体" w:cs="Times New Roman"/>
          <w:sz w:val="48"/>
          <w:szCs w:val="48"/>
        </w:rPr>
        <w:br w:type="page"/>
      </w:r>
    </w:p>
    <w:p>
      <w:pPr>
        <w:tabs>
          <w:tab w:val="left" w:pos="2728"/>
        </w:tabs>
        <w:jc w:val="center"/>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黑体"/>
          <w:sz w:val="48"/>
          <w:szCs w:val="48"/>
        </w:rPr>
        <w:t>目</w:t>
      </w:r>
      <w:r>
        <w:rPr>
          <w:rFonts w:ascii="黑体" w:hAnsi="Times New Roman" w:eastAsia="黑体" w:cs="黑体"/>
          <w:sz w:val="48"/>
          <w:szCs w:val="48"/>
        </w:rPr>
        <w:t xml:space="preserve">    </w:t>
      </w:r>
      <w:r>
        <w:rPr>
          <w:rFonts w:hint="eastAsia" w:ascii="黑体" w:hAnsi="Times New Roman" w:eastAsia="黑体" w:cs="黑体"/>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24"/>
        </w:rPr>
      </w:pPr>
      <w:r>
        <w:rPr>
          <w:rFonts w:hint="eastAsia" w:ascii="Times New Roman" w:hAnsi="Times New Roman" w:eastAsia="黑体" w:cs="黑体"/>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部门概况</w:t>
      </w:r>
    </w:p>
    <w:p>
      <w:pPr>
        <w:widowControl/>
        <w:spacing w:after="160" w:line="580" w:lineRule="exact"/>
        <w:ind w:firstLine="1273" w:firstLineChars="398"/>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一、部门职责</w:t>
      </w:r>
    </w:p>
    <w:p>
      <w:pPr>
        <w:widowControl/>
        <w:spacing w:after="160" w:line="580" w:lineRule="exact"/>
        <w:ind w:firstLine="1273" w:firstLineChars="398"/>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二、机构设置</w:t>
      </w:r>
    </w:p>
    <w:p>
      <w:pPr>
        <w:widowControl/>
        <w:spacing w:after="160"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第二部分</w:t>
      </w:r>
      <w:r>
        <w:rPr>
          <w:rFonts w:ascii="Times New Roman" w:hAnsi="Times New Roman" w:eastAsia="黑体" w:cs="Times New Roman"/>
          <w:sz w:val="32"/>
          <w:szCs w:val="32"/>
        </w:rPr>
        <w:t xml:space="preserve">   2019</w:t>
      </w:r>
      <w:r>
        <w:rPr>
          <w:rFonts w:hint="eastAsia" w:ascii="Times New Roman" w:hAnsi="Times New Roman" w:eastAsia="黑体" w:cs="黑体"/>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五、一般公共预算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六、预算绩效情况说明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七、其他重要事项的说明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第三部分</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名词解释</w:t>
      </w:r>
    </w:p>
    <w:p>
      <w:pPr>
        <w:widowControl/>
        <w:spacing w:after="160" w:line="580" w:lineRule="exact"/>
        <w:ind w:firstLine="640" w:firstLineChars="200"/>
        <w:rPr>
          <w:rFonts w:ascii="Times New Roman" w:hAnsi="Times New Roman" w:eastAsia="仿宋_GB2312" w:cs="Times New Roman"/>
          <w:sz w:val="20"/>
          <w:szCs w:val="20"/>
        </w:rPr>
      </w:pPr>
      <w:r>
        <w:rPr>
          <w:rFonts w:hint="eastAsia" w:ascii="Times New Roman" w:hAnsi="Times New Roman" w:eastAsia="黑体" w:cs="黑体"/>
          <w:sz w:val="32"/>
          <w:szCs w:val="32"/>
        </w:rPr>
        <w:t>第四部分</w:t>
      </w:r>
      <w:r>
        <w:rPr>
          <w:rFonts w:ascii="Times New Roman" w:hAnsi="Times New Roman" w:eastAsia="黑体" w:cs="Times New Roman"/>
          <w:sz w:val="32"/>
          <w:szCs w:val="32"/>
        </w:rPr>
        <w:t xml:space="preserve">  2019</w:t>
      </w:r>
      <w:r>
        <w:rPr>
          <w:rFonts w:hint="eastAsia" w:ascii="Times New Roman" w:hAnsi="Times New Roman" w:eastAsia="黑体" w:cs="黑体"/>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cs="Times New Roman"/>
          <w:sz w:val="32"/>
          <w:szCs w:val="32"/>
        </w:rPr>
      </w:pPr>
    </w:p>
    <w:p>
      <w:pPr>
        <w:widowControl/>
        <w:spacing w:line="580" w:lineRule="exact"/>
        <w:ind w:firstLine="640" w:firstLineChars="200"/>
        <w:rPr>
          <w:rFonts w:eastAsia="黑体" w:cs="Times New Roman"/>
          <w:sz w:val="32"/>
          <w:szCs w:val="32"/>
        </w:rPr>
      </w:pPr>
    </w:p>
    <w:p>
      <w:pPr>
        <w:widowControl/>
        <w:spacing w:line="580" w:lineRule="exact"/>
        <w:ind w:firstLine="640" w:firstLineChars="200"/>
        <w:rPr>
          <w:rFonts w:eastAsia="黑体" w:cs="Times New Roman"/>
          <w:sz w:val="32"/>
          <w:szCs w:val="32"/>
        </w:rPr>
      </w:pPr>
    </w:p>
    <w:p>
      <w:pPr>
        <w:rPr>
          <w:rFonts w:cs="Times New Roman"/>
        </w:rPr>
      </w:pPr>
      <w:r>
        <w:pict>
          <v:shape id="_x0000_s1037" o:spid="_x0000_s1037" o:spt="202" type="#_x0000_t202" style="position:absolute;left:0pt;margin-left:-85.7pt;margin-top:80.7pt;height:263.1pt;width:613.65pt;z-index:251659264;v-text-anchor:middle;mso-width-relative:page;mso-height-relative:page;" fillcolor="#FFD966" filled="t" stroked="t" coordsize="21600,21600">
            <v:path/>
            <v:fill type="pattern" on="t" focussize="0,0"/>
            <v:stroke weight="1pt" color="#FFD966" joinstyle="round"/>
            <v:imagedata o:title=""/>
            <o:lock v:ext="edit"/>
            <v:textbox>
              <w:txbxContent>
                <w:p>
                  <w:pPr>
                    <w:widowControl/>
                    <w:jc w:val="center"/>
                    <w:rPr>
                      <w:rFonts w:ascii="黑体" w:hAnsi="黑体" w:eastAsia="黑体" w:cs="Times New Roman"/>
                      <w:color w:val="000000"/>
                      <w:sz w:val="96"/>
                      <w:szCs w:val="96"/>
                    </w:rPr>
                  </w:pPr>
                  <w:r>
                    <w:rPr>
                      <w:rFonts w:hint="eastAsia" w:ascii="黑体" w:hAnsi="黑体" w:eastAsia="黑体" w:cs="黑体"/>
                      <w:color w:val="000000"/>
                      <w:sz w:val="96"/>
                      <w:szCs w:val="96"/>
                    </w:rPr>
                    <w:t>第一部分</w:t>
                  </w:r>
                  <w:r>
                    <w:rPr>
                      <w:rFonts w:ascii="黑体" w:hAnsi="黑体" w:eastAsia="黑体" w:cs="黑体"/>
                      <w:color w:val="000000"/>
                      <w:sz w:val="96"/>
                      <w:szCs w:val="96"/>
                    </w:rPr>
                    <w:t xml:space="preserve">  </w:t>
                  </w:r>
                  <w:r>
                    <w:rPr>
                      <w:rFonts w:hint="eastAsia" w:ascii="黑体" w:hAnsi="黑体" w:eastAsia="黑体" w:cs="黑体"/>
                      <w:color w:val="000000"/>
                      <w:sz w:val="96"/>
                      <w:szCs w:val="96"/>
                    </w:rPr>
                    <w:t>部门概况</w:t>
                  </w:r>
                </w:p>
              </w:txbxContent>
            </v:textbox>
          </v:shape>
        </w:pict>
      </w:r>
      <w:r>
        <w:rPr>
          <w:rFonts w:cs="Times New Roman"/>
        </w:rPr>
        <w:br w:type="page"/>
      </w:r>
    </w:p>
    <w:p>
      <w:pPr>
        <w:pStyle w:val="2"/>
        <w:spacing w:before="0" w:after="0" w:line="580" w:lineRule="exact"/>
        <w:ind w:firstLine="640" w:firstLineChars="200"/>
        <w:jc w:val="left"/>
        <w:rPr>
          <w:rFonts w:ascii="黑体" w:eastAsia="黑体" w:cs="Times New Roman"/>
          <w:b w:val="0"/>
          <w:bCs w:val="0"/>
          <w:kern w:val="0"/>
          <w:sz w:val="32"/>
          <w:szCs w:val="32"/>
        </w:rPr>
      </w:pPr>
      <w:r>
        <w:rPr>
          <w:rFonts w:hint="eastAsia" w:ascii="黑体" w:eastAsia="黑体" w:cs="黑体"/>
          <w:b w:val="0"/>
          <w:bCs w:val="0"/>
          <w:kern w:val="0"/>
          <w:sz w:val="32"/>
          <w:szCs w:val="32"/>
        </w:rPr>
        <w:t>一、部门职责</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根据区委、区政府关于印发《中共保定市清苑区纪律检查委员会机关、保定市清苑区监察局主要职责、内设机构和人员编制规定》的通知（清办字</w:t>
      </w:r>
      <w:r>
        <w:rPr>
          <w:rFonts w:ascii="仿宋" w:hAnsi="仿宋" w:eastAsia="仿宋" w:cs="仿宋"/>
          <w:sz w:val="32"/>
          <w:szCs w:val="32"/>
        </w:rPr>
        <w:t>[2017] 3</w:t>
      </w:r>
      <w:r>
        <w:rPr>
          <w:rFonts w:hint="eastAsia" w:ascii="仿宋" w:hAnsi="仿宋" w:eastAsia="仿宋" w:cs="仿宋"/>
          <w:sz w:val="32"/>
          <w:szCs w:val="32"/>
        </w:rPr>
        <w:t>号）及保定市清苑区机构编制委员会《关于深化国家监察体制改革涉及机构调整和人员转隶有关问题的通知》（清编字</w:t>
      </w:r>
      <w:r>
        <w:rPr>
          <w:rFonts w:ascii="仿宋" w:hAnsi="仿宋" w:eastAsia="仿宋" w:cs="仿宋"/>
          <w:sz w:val="32"/>
          <w:szCs w:val="32"/>
        </w:rPr>
        <w:t>[2017]13</w:t>
      </w:r>
      <w:r>
        <w:rPr>
          <w:rFonts w:hint="eastAsia" w:ascii="仿宋" w:hAnsi="仿宋" w:eastAsia="仿宋" w:cs="仿宋"/>
          <w:sz w:val="32"/>
          <w:szCs w:val="32"/>
        </w:rPr>
        <w:t>号），现将我单位部门职责说明如下：</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一）主管全区党的纪律检查工作。负责贯彻落实党中央、中纪委、省委、省纪委、保定市委、市纪委和市委关于加强党风廉政建设的决定；维护党的章程和其他党内法规；监督检查党的路线、方针、政策和决议的执行情况。</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二）主管全区行政监察工作。贯彻落实上级政府、监察部门和区政府有关行政监察工作的决定；监督检查区政府各部门及其工作人员和各乡镇人民政府及其主要领导执行国家及省、市的政策和法律、法规、国民经济和社会发展计划，国务院和省市政府颁发的决议和命令的执行情况。</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三）负责检查并处理区委、区政府机关各部门、各乡镇党的组织和区委管理的党员领导干部违反党章及党内法规的案件，决定或取消对这些案件中的党员的处分；受理党员的控告和申诉，直接查处下级纪委管辖范围内的案件；变更和撤销下级纪检监察机关不适当的决定和规定。</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四）负责调查处理区政府各部门及其工作人员和各乡镇人民政府及其主要领导违反国家政策、法规及违反政纪的行为，并根据负责人所犯错误的情节轻重，提出处分建议或按权限直接给予行政处分；受理监察对象不服政纪处分的申诉，受理个人或单位对监察对象违纪行为的检举、控告。</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（五）负责做出关于维护党纪的决定；制定全区党风廉政教育规划；配合有关部门做好宣传党的纪检工作方针、政策和教育党员遵守纪律工作。</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（六）制定行政监察工作方针、政策和法律、法规的宣传工作，教育国家机关工作人员进行遵纪守法、为政清廉。</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（七）负责对党的纪律检查工作理论及有关问题进行调查研究。</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（八）会同组织部门做好全区纪检监察系统干部管理工作；任免、培训工作。指导乡镇纪委班子换届选举工作。</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（九）</w:t>
      </w:r>
      <w:r>
        <w:rPr>
          <w:rFonts w:hint="eastAsia" w:ascii="仿宋_GB2312" w:eastAsia="仿宋_GB2312" w:cs="仿宋_GB2312"/>
          <w:sz w:val="32"/>
          <w:szCs w:val="32"/>
        </w:rPr>
        <w:t>查处贪污、贿赂等犯罪案件；侦查机关工作人员渎职犯罪案件；研究制定预防职务犯罪工作计划、规定。</w:t>
      </w:r>
    </w:p>
    <w:p>
      <w:pPr>
        <w:widowControl/>
        <w:spacing w:line="600" w:lineRule="exact"/>
        <w:ind w:firstLine="640" w:firstLineChars="200"/>
        <w:rPr>
          <w:rFonts w:ascii="仿宋" w:hAnsi="仿宋" w:eastAsia="仿宋" w:cs="Times New Roman"/>
          <w:sz w:val="32"/>
          <w:szCs w:val="32"/>
        </w:rPr>
      </w:pPr>
      <w:r>
        <w:rPr>
          <w:rFonts w:hint="eastAsia" w:ascii="仿宋" w:hAnsi="仿宋" w:eastAsia="仿宋" w:cs="仿宋"/>
          <w:sz w:val="32"/>
          <w:szCs w:val="32"/>
        </w:rPr>
        <w:t>（十）承担区委、区政府及中央纪委国家监委、省纪委监委、保定市纪委监委授权和交办的其他工作。</w:t>
      </w:r>
    </w:p>
    <w:p>
      <w:pPr>
        <w:keepNext/>
        <w:keepLines/>
        <w:spacing w:line="580" w:lineRule="exact"/>
        <w:ind w:firstLine="640" w:firstLineChars="200"/>
        <w:jc w:val="left"/>
        <w:outlineLvl w:val="0"/>
        <w:rPr>
          <w:rFonts w:ascii="黑体" w:hAnsi="Calibri" w:eastAsia="黑体" w:cs="Times New Roman"/>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Times New Roman"/>
          <w:kern w:val="0"/>
          <w:sz w:val="32"/>
          <w:szCs w:val="32"/>
        </w:rPr>
      </w:pPr>
      <w:r>
        <w:rPr>
          <w:rFonts w:hint="eastAsia" w:ascii="仿宋_GB2312" w:hAnsi="Calibri" w:eastAsia="仿宋_GB2312" w:cs="仿宋_GB2312"/>
          <w:kern w:val="0"/>
          <w:sz w:val="32"/>
          <w:szCs w:val="32"/>
        </w:rPr>
        <w:t>从决算编报单位构成看，纳入</w:t>
      </w:r>
      <w:r>
        <w:rPr>
          <w:rFonts w:ascii="仿宋_GB2312" w:hAnsi="Calibri" w:eastAsia="仿宋_GB2312" w:cs="仿宋_GB2312"/>
          <w:kern w:val="0"/>
          <w:sz w:val="32"/>
          <w:szCs w:val="32"/>
        </w:rPr>
        <w:t xml:space="preserve">2019 </w:t>
      </w:r>
      <w:r>
        <w:rPr>
          <w:rFonts w:hint="eastAsia" w:ascii="仿宋_GB2312" w:hAnsi="Calibri" w:eastAsia="仿宋_GB2312" w:cs="仿宋_GB2312"/>
          <w:kern w:val="0"/>
          <w:sz w:val="32"/>
          <w:szCs w:val="32"/>
        </w:rPr>
        <w:t>年度本部门决算汇编范围的独立核算单位（以下简称“单位”）共</w:t>
      </w:r>
      <w:r>
        <w:rPr>
          <w:rFonts w:ascii="仿宋_GB2312" w:hAnsi="Calibri" w:eastAsia="仿宋_GB2312" w:cs="仿宋_GB2312"/>
          <w:kern w:val="0"/>
          <w:sz w:val="32"/>
          <w:szCs w:val="32"/>
        </w:rPr>
        <w:t>1</w:t>
      </w:r>
      <w:r>
        <w:rPr>
          <w:rFonts w:hint="eastAsia" w:ascii="仿宋_GB2312" w:hAnsi="Calibri" w:eastAsia="仿宋_GB2312" w:cs="仿宋_GB2312"/>
          <w:kern w:val="0"/>
          <w:sz w:val="32"/>
          <w:szCs w:val="32"/>
        </w:rPr>
        <w:t>个，具体情况如下：</w:t>
      </w:r>
    </w:p>
    <w:tbl>
      <w:tblPr>
        <w:tblStyle w:val="6"/>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960"/>
        <w:gridCol w:w="2127"/>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8"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序号</w:t>
            </w:r>
          </w:p>
        </w:tc>
        <w:tc>
          <w:tcPr>
            <w:tcW w:w="3960"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单位名称</w:t>
            </w:r>
          </w:p>
        </w:tc>
        <w:tc>
          <w:tcPr>
            <w:tcW w:w="2127"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单位基本性质</w:t>
            </w:r>
          </w:p>
        </w:tc>
        <w:tc>
          <w:tcPr>
            <w:tcW w:w="2665" w:type="dxa"/>
            <w:vAlign w:val="center"/>
          </w:tcPr>
          <w:p>
            <w:pPr>
              <w:spacing w:line="560" w:lineRule="exact"/>
              <w:jc w:val="center"/>
              <w:rPr>
                <w:rFonts w:ascii="仿宋_GB2312" w:hAnsi="Calibri" w:eastAsia="仿宋_GB2312" w:cs="Times New Roman"/>
                <w:b/>
                <w:bCs/>
                <w:kern w:val="0"/>
                <w:sz w:val="28"/>
                <w:szCs w:val="28"/>
              </w:rPr>
            </w:pPr>
            <w:r>
              <w:rPr>
                <w:rFonts w:hint="eastAsia" w:ascii="仿宋_GB2312" w:hAnsi="Calibri" w:eastAsia="仿宋_GB2312" w:cs="仿宋_GB2312"/>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28" w:type="dxa"/>
          </w:tcPr>
          <w:p>
            <w:pPr>
              <w:spacing w:line="560" w:lineRule="exact"/>
              <w:jc w:val="center"/>
              <w:rPr>
                <w:rFonts w:ascii="仿宋_GB2312" w:hAnsi="Calibri" w:eastAsia="仿宋_GB2312" w:cs="仿宋_GB2312"/>
                <w:kern w:val="0"/>
                <w:sz w:val="28"/>
                <w:szCs w:val="28"/>
              </w:rPr>
            </w:pPr>
            <w:r>
              <w:rPr>
                <w:rFonts w:ascii="仿宋_GB2312" w:hAnsi="Calibri" w:eastAsia="仿宋_GB2312" w:cs="仿宋_GB2312"/>
                <w:kern w:val="0"/>
                <w:sz w:val="28"/>
                <w:szCs w:val="28"/>
              </w:rPr>
              <w:t>1</w:t>
            </w:r>
          </w:p>
        </w:tc>
        <w:tc>
          <w:tcPr>
            <w:tcW w:w="3960" w:type="dxa"/>
          </w:tcPr>
          <w:p>
            <w:pPr>
              <w:spacing w:line="560" w:lineRule="exact"/>
              <w:rPr>
                <w:rFonts w:ascii="仿宋_GB2312" w:hAnsi="Calibri" w:eastAsia="仿宋_GB2312" w:cs="Times New Roman"/>
                <w:kern w:val="0"/>
                <w:sz w:val="28"/>
                <w:szCs w:val="28"/>
              </w:rPr>
            </w:pPr>
            <w:r>
              <w:rPr>
                <w:rFonts w:hint="eastAsia" w:ascii="仿宋_GB2312" w:hAnsi="宋体" w:eastAsia="仿宋_GB2312" w:cs="仿宋_GB2312"/>
                <w:sz w:val="24"/>
                <w:szCs w:val="24"/>
              </w:rPr>
              <w:t>中共保定市清苑区纪律检查委员会</w:t>
            </w:r>
          </w:p>
        </w:tc>
        <w:tc>
          <w:tcPr>
            <w:tcW w:w="2127"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行政单位</w:t>
            </w:r>
          </w:p>
        </w:tc>
        <w:tc>
          <w:tcPr>
            <w:tcW w:w="2665" w:type="dxa"/>
          </w:tcPr>
          <w:p>
            <w:pPr>
              <w:spacing w:line="560" w:lineRule="exact"/>
              <w:jc w:val="center"/>
              <w:rPr>
                <w:rFonts w:ascii="仿宋_GB2312" w:hAnsi="Calibri" w:eastAsia="仿宋_GB2312" w:cs="Times New Roman"/>
                <w:kern w:val="0"/>
                <w:sz w:val="28"/>
                <w:szCs w:val="28"/>
              </w:rPr>
            </w:pPr>
            <w:r>
              <w:rPr>
                <w:rFonts w:hint="eastAsia" w:ascii="仿宋_GB2312" w:hAnsi="Calibri" w:eastAsia="仿宋_GB2312" w:cs="仿宋_GB2312"/>
                <w:kern w:val="0"/>
                <w:sz w:val="28"/>
                <w:szCs w:val="28"/>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42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pict>
          <v:shape id="_x0000_s1038" o:spid="_x0000_s1038" o:spt="202" type="#_x0000_t202" style="position:absolute;left:0pt;margin-left:-85.7pt;margin-top:238.15pt;height:173.25pt;width:613.65pt;z-index:251660288;mso-width-relative:page;mso-height-relative:page;" filled="f" stroked="f" coordsize="21600,21600">
            <v:path/>
            <v:fill on="f" focussize="0,0"/>
            <v:stroke on="f" weight="0.5pt" joinstyle="miter"/>
            <v:imagedata o:title=""/>
            <o:lock v:ext="edit"/>
            <v:textbox>
              <w:txbxContent>
                <w:p>
                  <w:pPr>
                    <w:widowControl/>
                    <w:jc w:val="center"/>
                    <w:rPr>
                      <w:rFonts w:ascii="黑体" w:hAnsi="黑体" w:eastAsia="黑体" w:cs="黑体"/>
                      <w:color w:val="000000"/>
                      <w:sz w:val="96"/>
                      <w:szCs w:val="96"/>
                    </w:rPr>
                  </w:pPr>
                  <w:r>
                    <w:rPr>
                      <w:rFonts w:ascii="黑体" w:hAnsi="黑体" w:eastAsia="黑体" w:cs="黑体"/>
                      <w:color w:val="000000"/>
                      <w:sz w:val="96"/>
                      <w:szCs w:val="96"/>
                    </w:rPr>
                    <w:t xml:space="preserve"> </w:t>
                  </w:r>
                </w:p>
                <w:p>
                  <w:pPr>
                    <w:widowControl/>
                    <w:jc w:val="center"/>
                    <w:rPr>
                      <w:rFonts w:ascii="黑体" w:hAnsi="黑体" w:eastAsia="黑体" w:cs="黑体"/>
                      <w:color w:val="000000"/>
                      <w:sz w:val="96"/>
                      <w:szCs w:val="96"/>
                    </w:rPr>
                  </w:pPr>
                </w:p>
              </w:txbxContent>
            </v:textbox>
          </v:shape>
        </w:pict>
      </w:r>
    </w:p>
    <w:p>
      <w:pPr>
        <w:widowControl/>
        <w:spacing w:line="580" w:lineRule="exact"/>
        <w:ind w:firstLine="640" w:firstLineChars="200"/>
        <w:rPr>
          <w:rFonts w:eastAsia="黑体" w:cs="Times New Roman"/>
          <w:sz w:val="32"/>
          <w:szCs w:val="32"/>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r>
        <w:pict>
          <v:shape id="_x0000_s1039" o:spid="_x0000_s1039" o:spt="202" type="#_x0000_t202" style="position:absolute;left:0pt;margin-left:-90.8pt;margin-top:4.35pt;height:263.1pt;width:613.65pt;z-index:251663360;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第二部分</w:t>
                  </w:r>
                  <w:r>
                    <w:rPr>
                      <w:rFonts w:ascii="黑体" w:hAnsi="黑体" w:eastAsia="黑体" w:cs="黑体"/>
                      <w:color w:val="000000"/>
                      <w:sz w:val="90"/>
                      <w:szCs w:val="90"/>
                    </w:rPr>
                    <w:t xml:space="preserve"> </w:t>
                  </w:r>
                </w:p>
                <w:p>
                  <w:pPr>
                    <w:widowControl/>
                    <w:jc w:val="center"/>
                    <w:rPr>
                      <w:rFonts w:ascii="黑体" w:hAnsi="黑体" w:eastAsia="黑体" w:cs="Times New Roman"/>
                      <w:color w:val="000000"/>
                      <w:sz w:val="90"/>
                      <w:szCs w:val="90"/>
                    </w:rPr>
                  </w:pPr>
                  <w:r>
                    <w:rPr>
                      <w:rFonts w:ascii="黑体" w:hAnsi="黑体" w:eastAsia="黑体" w:cs="黑体"/>
                      <w:color w:val="000000"/>
                      <w:sz w:val="90"/>
                      <w:szCs w:val="90"/>
                    </w:rPr>
                    <w:t>2019</w:t>
                  </w:r>
                  <w:r>
                    <w:rPr>
                      <w:rFonts w:hint="eastAsia" w:ascii="黑体" w:hAnsi="黑体" w:eastAsia="黑体" w:cs="黑体"/>
                      <w:color w:val="000000"/>
                      <w:sz w:val="90"/>
                      <w:szCs w:val="90"/>
                    </w:rPr>
                    <w:t>年部门决算情况说明</w:t>
                  </w:r>
                </w:p>
                <w:p>
                  <w:pPr>
                    <w:rPr>
                      <w:rFonts w:cs="Times New Roman"/>
                    </w:rPr>
                  </w:pPr>
                </w:p>
              </w:txbxContent>
            </v:textbox>
          </v:shape>
        </w:pict>
      </w: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一、收入</w:t>
      </w:r>
      <w:r>
        <w:rPr>
          <w:rFonts w:hint="eastAsia" w:ascii="黑体" w:hAnsi="Cambria" w:eastAsia="黑体" w:cs="黑体"/>
          <w:kern w:val="0"/>
          <w:sz w:val="32"/>
          <w:szCs w:val="32"/>
        </w:rPr>
        <w:t>支出</w:t>
      </w:r>
      <w:r>
        <w:rPr>
          <w:rFonts w:hint="eastAsia" w:ascii="黑体" w:hAnsi="Calibri" w:eastAsia="黑体" w:cs="黑体"/>
          <w:sz w:val="32"/>
          <w:szCs w:val="32"/>
        </w:rPr>
        <w:t>决算总体情况说明</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 w:hAnsi="仿宋" w:eastAsia="仿宋" w:cs="仿宋"/>
          <w:kern w:val="0"/>
          <w:sz w:val="32"/>
          <w:szCs w:val="32"/>
        </w:rPr>
        <w:t>本部门</w:t>
      </w:r>
      <w:r>
        <w:rPr>
          <w:rFonts w:ascii="仿宋" w:hAnsi="仿宋" w:eastAsia="仿宋" w:cs="仿宋"/>
          <w:kern w:val="0"/>
          <w:sz w:val="32"/>
          <w:szCs w:val="32"/>
        </w:rPr>
        <w:t>2019</w:t>
      </w:r>
      <w:r>
        <w:rPr>
          <w:rFonts w:hint="eastAsia" w:ascii="仿宋" w:hAnsi="仿宋" w:eastAsia="仿宋" w:cs="仿宋"/>
          <w:kern w:val="0"/>
          <w:sz w:val="32"/>
          <w:szCs w:val="32"/>
        </w:rPr>
        <w:t>年度收入总计（含结转和结余）</w:t>
      </w:r>
      <w:r>
        <w:rPr>
          <w:rFonts w:ascii="仿宋" w:hAnsi="仿宋" w:eastAsia="仿宋" w:cs="仿宋"/>
          <w:kern w:val="0"/>
          <w:sz w:val="32"/>
          <w:szCs w:val="32"/>
        </w:rPr>
        <w:t>1176.8</w:t>
      </w:r>
      <w:r>
        <w:rPr>
          <w:rFonts w:hint="eastAsia" w:ascii="仿宋" w:hAnsi="仿宋" w:eastAsia="仿宋" w:cs="仿宋"/>
          <w:kern w:val="0"/>
          <w:sz w:val="32"/>
          <w:szCs w:val="32"/>
        </w:rPr>
        <w:t>万元。与</w:t>
      </w:r>
      <w:r>
        <w:rPr>
          <w:rFonts w:ascii="仿宋" w:hAnsi="仿宋" w:eastAsia="仿宋" w:cs="仿宋"/>
          <w:kern w:val="0"/>
          <w:sz w:val="32"/>
          <w:szCs w:val="32"/>
        </w:rPr>
        <w:t>2018</w:t>
      </w:r>
      <w:r>
        <w:rPr>
          <w:rFonts w:hint="eastAsia" w:ascii="仿宋" w:hAnsi="仿宋" w:eastAsia="仿宋" w:cs="仿宋"/>
          <w:kern w:val="0"/>
          <w:sz w:val="32"/>
          <w:szCs w:val="32"/>
        </w:rPr>
        <w:t>年度决算收入总计</w:t>
      </w:r>
      <w:r>
        <w:rPr>
          <w:rFonts w:ascii="仿宋" w:hAnsi="仿宋" w:eastAsia="仿宋" w:cs="仿宋"/>
          <w:kern w:val="0"/>
          <w:sz w:val="32"/>
          <w:szCs w:val="32"/>
        </w:rPr>
        <w:t>1117</w:t>
      </w:r>
      <w:r>
        <w:rPr>
          <w:rFonts w:hint="eastAsia" w:ascii="仿宋" w:hAnsi="仿宋" w:eastAsia="仿宋" w:cs="仿宋"/>
          <w:kern w:val="0"/>
          <w:sz w:val="32"/>
          <w:szCs w:val="32"/>
        </w:rPr>
        <w:t>万元相比，增加</w:t>
      </w:r>
      <w:r>
        <w:rPr>
          <w:rFonts w:ascii="仿宋" w:hAnsi="仿宋" w:eastAsia="仿宋" w:cs="仿宋"/>
          <w:kern w:val="0"/>
          <w:sz w:val="32"/>
          <w:szCs w:val="32"/>
        </w:rPr>
        <w:t>59.8</w:t>
      </w:r>
      <w:r>
        <w:rPr>
          <w:rFonts w:hint="eastAsia" w:ascii="仿宋" w:hAnsi="仿宋" w:eastAsia="仿宋" w:cs="仿宋"/>
          <w:kern w:val="0"/>
          <w:sz w:val="32"/>
          <w:szCs w:val="32"/>
        </w:rPr>
        <w:t>万元，增长</w:t>
      </w:r>
      <w:r>
        <w:rPr>
          <w:rFonts w:ascii="仿宋" w:hAnsi="仿宋" w:eastAsia="仿宋" w:cs="仿宋"/>
          <w:kern w:val="0"/>
          <w:sz w:val="32"/>
          <w:szCs w:val="32"/>
        </w:rPr>
        <w:t>5.</w:t>
      </w:r>
      <w:r>
        <w:rPr>
          <w:rFonts w:hint="eastAsia" w:ascii="仿宋" w:hAnsi="仿宋" w:eastAsia="仿宋" w:cs="仿宋"/>
          <w:kern w:val="0"/>
          <w:sz w:val="32"/>
          <w:szCs w:val="32"/>
          <w:lang w:val="en-US" w:eastAsia="zh-CN"/>
        </w:rPr>
        <w:t>4</w:t>
      </w:r>
      <w:r>
        <w:rPr>
          <w:rFonts w:ascii="仿宋" w:hAnsi="仿宋" w:eastAsia="仿宋" w:cs="仿宋"/>
          <w:kern w:val="0"/>
          <w:sz w:val="32"/>
          <w:szCs w:val="32"/>
        </w:rPr>
        <w:t>%</w:t>
      </w:r>
      <w:r>
        <w:rPr>
          <w:rFonts w:hint="eastAsia" w:ascii="仿宋" w:hAnsi="仿宋" w:eastAsia="仿宋" w:cs="仿宋"/>
          <w:kern w:val="0"/>
          <w:sz w:val="32"/>
          <w:szCs w:val="32"/>
        </w:rPr>
        <w:t>，主要原因是人员增加导致人员经费增加；机构改革后巡察办成立，增加巡察专项经费。本部门</w:t>
      </w:r>
      <w:r>
        <w:rPr>
          <w:rFonts w:ascii="仿宋" w:hAnsi="仿宋" w:eastAsia="仿宋" w:cs="仿宋"/>
          <w:kern w:val="0"/>
          <w:sz w:val="32"/>
          <w:szCs w:val="32"/>
        </w:rPr>
        <w:t>2019</w:t>
      </w:r>
      <w:r>
        <w:rPr>
          <w:rFonts w:hint="eastAsia" w:ascii="仿宋" w:hAnsi="仿宋" w:eastAsia="仿宋" w:cs="仿宋"/>
          <w:kern w:val="0"/>
          <w:sz w:val="32"/>
          <w:szCs w:val="32"/>
        </w:rPr>
        <w:t>年度支出总计（含结转和结余）</w:t>
      </w:r>
      <w:r>
        <w:rPr>
          <w:rFonts w:ascii="仿宋" w:hAnsi="仿宋" w:eastAsia="仿宋" w:cs="仿宋"/>
          <w:kern w:val="0"/>
          <w:sz w:val="32"/>
          <w:szCs w:val="32"/>
        </w:rPr>
        <w:t>1176.8</w:t>
      </w:r>
      <w:r>
        <w:rPr>
          <w:rFonts w:hint="eastAsia" w:ascii="仿宋" w:hAnsi="仿宋" w:eastAsia="仿宋" w:cs="仿宋"/>
          <w:kern w:val="0"/>
          <w:sz w:val="32"/>
          <w:szCs w:val="32"/>
        </w:rPr>
        <w:t>万元。与</w:t>
      </w:r>
      <w:r>
        <w:rPr>
          <w:rFonts w:ascii="仿宋" w:hAnsi="仿宋" w:eastAsia="仿宋" w:cs="仿宋"/>
          <w:kern w:val="0"/>
          <w:sz w:val="32"/>
          <w:szCs w:val="32"/>
        </w:rPr>
        <w:t>2018</w:t>
      </w:r>
      <w:r>
        <w:rPr>
          <w:rFonts w:hint="eastAsia" w:ascii="仿宋" w:hAnsi="仿宋" w:eastAsia="仿宋" w:cs="仿宋"/>
          <w:kern w:val="0"/>
          <w:sz w:val="32"/>
          <w:szCs w:val="32"/>
        </w:rPr>
        <w:t>年度决算收入总计</w:t>
      </w:r>
      <w:r>
        <w:rPr>
          <w:rFonts w:ascii="仿宋" w:hAnsi="仿宋" w:eastAsia="仿宋" w:cs="仿宋"/>
          <w:kern w:val="0"/>
          <w:sz w:val="32"/>
          <w:szCs w:val="32"/>
        </w:rPr>
        <w:t>1117</w:t>
      </w:r>
      <w:r>
        <w:rPr>
          <w:rFonts w:hint="eastAsia" w:ascii="仿宋" w:hAnsi="仿宋" w:eastAsia="仿宋" w:cs="仿宋"/>
          <w:kern w:val="0"/>
          <w:sz w:val="32"/>
          <w:szCs w:val="32"/>
        </w:rPr>
        <w:t>万元相比，增加</w:t>
      </w:r>
      <w:r>
        <w:rPr>
          <w:rFonts w:ascii="仿宋" w:hAnsi="仿宋" w:eastAsia="仿宋" w:cs="仿宋"/>
          <w:kern w:val="0"/>
          <w:sz w:val="32"/>
          <w:szCs w:val="32"/>
        </w:rPr>
        <w:t>59.8</w:t>
      </w:r>
      <w:r>
        <w:rPr>
          <w:rFonts w:hint="eastAsia" w:ascii="仿宋" w:hAnsi="仿宋" w:eastAsia="仿宋" w:cs="仿宋"/>
          <w:kern w:val="0"/>
          <w:sz w:val="32"/>
          <w:szCs w:val="32"/>
        </w:rPr>
        <w:t>万元，增长</w:t>
      </w:r>
      <w:r>
        <w:rPr>
          <w:rFonts w:ascii="仿宋" w:hAnsi="仿宋" w:eastAsia="仿宋" w:cs="仿宋"/>
          <w:kern w:val="0"/>
          <w:sz w:val="32"/>
          <w:szCs w:val="32"/>
        </w:rPr>
        <w:t>5.</w:t>
      </w:r>
      <w:r>
        <w:rPr>
          <w:rFonts w:hint="eastAsia" w:ascii="仿宋" w:hAnsi="仿宋" w:eastAsia="仿宋" w:cs="仿宋"/>
          <w:kern w:val="0"/>
          <w:sz w:val="32"/>
          <w:szCs w:val="32"/>
          <w:lang w:val="en-US" w:eastAsia="zh-CN"/>
        </w:rPr>
        <w:t>4</w:t>
      </w:r>
      <w:r>
        <w:rPr>
          <w:rFonts w:ascii="仿宋" w:hAnsi="仿宋" w:eastAsia="仿宋" w:cs="仿宋"/>
          <w:kern w:val="0"/>
          <w:sz w:val="32"/>
          <w:szCs w:val="32"/>
        </w:rPr>
        <w:t>%</w:t>
      </w:r>
      <w:r>
        <w:rPr>
          <w:rFonts w:hint="eastAsia" w:ascii="仿宋" w:hAnsi="仿宋" w:eastAsia="仿宋" w:cs="仿宋"/>
          <w:kern w:val="0"/>
          <w:sz w:val="32"/>
          <w:szCs w:val="32"/>
        </w:rPr>
        <w:t>，主要原因是人员增加导致支出增加；机构改革后巡察办成立，增加巡察专项经费。</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二、收入决算情况说明</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年度本年收入合计</w:t>
      </w:r>
      <w:r>
        <w:rPr>
          <w:rFonts w:ascii="仿宋_GB2312" w:hAnsi="Times New Roman" w:eastAsia="仿宋_GB2312" w:cs="仿宋_GB2312"/>
          <w:sz w:val="32"/>
          <w:szCs w:val="32"/>
        </w:rPr>
        <w:t>1176.8</w:t>
      </w:r>
      <w:r>
        <w:rPr>
          <w:rFonts w:hint="eastAsia" w:ascii="仿宋_GB2312" w:hAnsi="Times New Roman" w:eastAsia="仿宋_GB2312" w:cs="仿宋_GB2312"/>
          <w:sz w:val="32"/>
          <w:szCs w:val="32"/>
        </w:rPr>
        <w:t>万元，其中：财政拨款收入</w:t>
      </w:r>
      <w:r>
        <w:rPr>
          <w:rFonts w:ascii="仿宋_GB2312" w:hAnsi="Times New Roman" w:eastAsia="仿宋_GB2312" w:cs="仿宋_GB2312"/>
          <w:sz w:val="32"/>
          <w:szCs w:val="32"/>
        </w:rPr>
        <w:t>1176.8</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lang w:val="en-US" w:eastAsia="zh-CN"/>
        </w:rPr>
        <w:t>.0</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r>
        <w:rPr>
          <w:rFonts w:ascii="仿宋_GB2312" w:hAnsi="Times New Roman" w:eastAsia="仿宋_GB2312" w:cs="仿宋_GB2312"/>
          <w:sz w:val="32"/>
          <w:szCs w:val="32"/>
        </w:rPr>
        <w:t xml:space="preserve"> </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三、支出决算情况说明</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年度本年支出合计</w:t>
      </w:r>
      <w:r>
        <w:rPr>
          <w:rFonts w:ascii="仿宋_GB2312" w:hAnsi="Times New Roman" w:eastAsia="仿宋_GB2312" w:cs="仿宋_GB2312"/>
          <w:sz w:val="32"/>
          <w:szCs w:val="32"/>
        </w:rPr>
        <w:t>1176.8</w:t>
      </w:r>
      <w:r>
        <w:rPr>
          <w:rFonts w:hint="eastAsia" w:ascii="仿宋_GB2312" w:hAnsi="Times New Roman" w:eastAsia="仿宋_GB2312" w:cs="仿宋_GB2312"/>
          <w:sz w:val="32"/>
          <w:szCs w:val="32"/>
        </w:rPr>
        <w:t>万元，其中：基本支出</w:t>
      </w:r>
      <w:r>
        <w:rPr>
          <w:rFonts w:ascii="仿宋_GB2312" w:hAnsi="Times New Roman" w:eastAsia="仿宋_GB2312" w:cs="仿宋_GB2312"/>
          <w:sz w:val="32"/>
          <w:szCs w:val="32"/>
        </w:rPr>
        <w:t>1160.54</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98.6%</w:t>
      </w:r>
      <w:r>
        <w:rPr>
          <w:rFonts w:hint="eastAsia" w:ascii="仿宋_GB2312" w:hAnsi="Times New Roman" w:eastAsia="仿宋_GB2312" w:cs="仿宋_GB2312"/>
          <w:sz w:val="32"/>
          <w:szCs w:val="32"/>
        </w:rPr>
        <w:t>；项目支出</w:t>
      </w:r>
      <w:r>
        <w:rPr>
          <w:rFonts w:ascii="仿宋_GB2312" w:hAnsi="Times New Roman" w:eastAsia="仿宋_GB2312" w:cs="仿宋_GB2312"/>
          <w:sz w:val="32"/>
          <w:szCs w:val="32"/>
        </w:rPr>
        <w:t>16.27</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1.4%</w:t>
      </w:r>
      <w:r>
        <w:rPr>
          <w:rFonts w:hint="eastAsia" w:ascii="仿宋_GB2312" w:hAnsi="Times New Roman" w:eastAsia="仿宋_GB2312" w:cs="仿宋_GB2312"/>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四、</w:t>
      </w:r>
      <w:r>
        <w:rPr>
          <w:rFonts w:hint="eastAsia" w:ascii="黑体" w:hAnsi="Cambria" w:eastAsia="黑体" w:cs="黑体"/>
          <w:kern w:val="0"/>
          <w:sz w:val="32"/>
          <w:szCs w:val="32"/>
        </w:rPr>
        <w:t>财政</w:t>
      </w:r>
      <w:r>
        <w:rPr>
          <w:rFonts w:hint="eastAsia" w:ascii="黑体" w:hAnsi="Calibri" w:eastAsia="黑体" w:cs="黑体"/>
          <w:sz w:val="32"/>
          <w:szCs w:val="32"/>
        </w:rPr>
        <w:t>拨款收入支出决算总体情况说明</w:t>
      </w:r>
    </w:p>
    <w:p>
      <w:pPr>
        <w:snapToGrid w:val="0"/>
        <w:spacing w:line="58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（一）财政拨款收支与</w:t>
      </w:r>
      <w:r>
        <w:rPr>
          <w:rFonts w:ascii="楷体_GB2312" w:hAnsi="Times New Roman" w:eastAsia="楷体_GB2312" w:cs="楷体_GB2312"/>
          <w:b/>
          <w:bCs/>
          <w:sz w:val="32"/>
          <w:szCs w:val="32"/>
        </w:rPr>
        <w:t xml:space="preserve">2018 </w:t>
      </w:r>
      <w:r>
        <w:rPr>
          <w:rFonts w:hint="eastAsia" w:ascii="楷体_GB2312" w:hAnsi="Times New Roman" w:eastAsia="楷体_GB2312" w:cs="楷体_GB2312"/>
          <w:b/>
          <w:bCs/>
          <w:sz w:val="32"/>
          <w:szCs w:val="32"/>
        </w:rPr>
        <w:t>年度决算对比情况</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年度形成的财政拨款收支均为一般公共预算财政拨款，其中本年收入</w:t>
      </w:r>
      <w:r>
        <w:rPr>
          <w:rFonts w:ascii="仿宋_GB2312" w:hAnsi="Times New Roman" w:eastAsia="仿宋_GB2312" w:cs="仿宋_GB2312"/>
          <w:sz w:val="32"/>
          <w:szCs w:val="32"/>
        </w:rPr>
        <w:t>1176.8</w:t>
      </w:r>
      <w:r>
        <w:rPr>
          <w:rFonts w:hint="eastAsia" w:ascii="仿宋_GB2312" w:hAnsi="Times New Roman" w:eastAsia="仿宋_GB2312" w:cs="仿宋_GB2312"/>
          <w:sz w:val="32"/>
          <w:szCs w:val="32"/>
        </w:rPr>
        <w:t>万元</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比</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年度增加</w:t>
      </w:r>
      <w:r>
        <w:rPr>
          <w:rFonts w:ascii="仿宋_GB2312" w:hAnsi="Times New Roman" w:eastAsia="仿宋_GB2312" w:cs="仿宋_GB2312"/>
          <w:sz w:val="32"/>
          <w:szCs w:val="32"/>
        </w:rPr>
        <w:t>59.8</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5.</w:t>
      </w:r>
      <w:r>
        <w:rPr>
          <w:rFonts w:hint="eastAsia" w:ascii="仿宋_GB2312" w:hAnsi="Times New Roman" w:eastAsia="仿宋_GB2312" w:cs="仿宋_GB2312"/>
          <w:sz w:val="32"/>
          <w:szCs w:val="32"/>
          <w:lang w:val="en-US" w:eastAsia="zh-CN"/>
        </w:rPr>
        <w:t>4</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，主要是</w:t>
      </w:r>
      <w:r>
        <w:rPr>
          <w:rFonts w:hint="eastAsia" w:ascii="仿宋" w:hAnsi="仿宋" w:eastAsia="仿宋" w:cs="仿宋"/>
          <w:kern w:val="0"/>
          <w:sz w:val="32"/>
          <w:szCs w:val="32"/>
        </w:rPr>
        <w:t>人员增加导致人员经费增加；机构改革后巡察办成立，增加巡察专项经费。</w:t>
      </w:r>
      <w:r>
        <w:rPr>
          <w:rFonts w:hint="eastAsia" w:ascii="仿宋_GB2312" w:hAnsi="Times New Roman" w:eastAsia="仿宋_GB2312" w:cs="仿宋_GB2312"/>
          <w:sz w:val="32"/>
          <w:szCs w:val="32"/>
        </w:rPr>
        <w:t>本年支出</w:t>
      </w:r>
      <w:r>
        <w:rPr>
          <w:rFonts w:ascii="仿宋_GB2312" w:hAnsi="Times New Roman" w:eastAsia="仿宋_GB2312" w:cs="仿宋_GB2312"/>
          <w:sz w:val="32"/>
          <w:szCs w:val="32"/>
        </w:rPr>
        <w:t>1176.8</w:t>
      </w:r>
      <w:r>
        <w:rPr>
          <w:rFonts w:hint="eastAsia" w:ascii="仿宋_GB2312" w:hAnsi="Times New Roman" w:eastAsia="仿宋_GB2312" w:cs="仿宋_GB2312"/>
          <w:sz w:val="32"/>
          <w:szCs w:val="32"/>
        </w:rPr>
        <w:t>万元，增加</w:t>
      </w:r>
      <w:r>
        <w:rPr>
          <w:rFonts w:ascii="仿宋_GB2312" w:hAnsi="Times New Roman" w:eastAsia="仿宋_GB2312" w:cs="仿宋_GB2312"/>
          <w:sz w:val="32"/>
          <w:szCs w:val="32"/>
        </w:rPr>
        <w:t>59.8</w:t>
      </w:r>
      <w:r>
        <w:rPr>
          <w:rFonts w:hint="eastAsia" w:ascii="仿宋_GB2312" w:hAnsi="Times New Roman" w:eastAsia="仿宋_GB2312" w:cs="仿宋_GB2312"/>
          <w:sz w:val="32"/>
          <w:szCs w:val="32"/>
        </w:rPr>
        <w:t>万元，增长</w:t>
      </w:r>
      <w:r>
        <w:rPr>
          <w:rFonts w:ascii="仿宋_GB2312" w:hAnsi="Times New Roman" w:eastAsia="仿宋_GB2312" w:cs="仿宋_GB2312"/>
          <w:sz w:val="32"/>
          <w:szCs w:val="32"/>
        </w:rPr>
        <w:t>5.</w:t>
      </w:r>
      <w:r>
        <w:rPr>
          <w:rFonts w:hint="eastAsia" w:ascii="仿宋_GB2312" w:hAnsi="Times New Roman" w:eastAsia="仿宋_GB2312" w:cs="仿宋_GB2312"/>
          <w:sz w:val="32"/>
          <w:szCs w:val="32"/>
          <w:lang w:val="en-US" w:eastAsia="zh-CN"/>
        </w:rPr>
        <w:t>4</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，主要是</w:t>
      </w:r>
      <w:r>
        <w:rPr>
          <w:rFonts w:hint="eastAsia" w:ascii="仿宋" w:hAnsi="仿宋" w:eastAsia="仿宋" w:cs="仿宋"/>
          <w:kern w:val="0"/>
          <w:sz w:val="32"/>
          <w:szCs w:val="32"/>
        </w:rPr>
        <w:t>人员增加导致人员经费增加；机构改革后巡察办成立，增加巡察专项经费</w:t>
      </w:r>
      <w:r>
        <w:rPr>
          <w:rFonts w:hint="eastAsia" w:ascii="仿宋_GB2312" w:hAnsi="Times New Roman" w:eastAsia="仿宋_GB2312" w:cs="仿宋_GB2312"/>
          <w:sz w:val="32"/>
          <w:szCs w:val="32"/>
        </w:rPr>
        <w:t>。</w:t>
      </w:r>
    </w:p>
    <w:p>
      <w:pPr>
        <w:snapToGrid w:val="0"/>
        <w:spacing w:line="580" w:lineRule="exact"/>
        <w:ind w:firstLine="643" w:firstLineChars="200"/>
        <w:rPr>
          <w:rFonts w:ascii="仿宋_GB2312" w:hAnsi="Times New Roman" w:eastAsia="仿宋_GB2312" w:cs="Times New Roman"/>
          <w:b/>
          <w:bCs/>
          <w:sz w:val="32"/>
          <w:szCs w:val="32"/>
        </w:rPr>
      </w:pPr>
      <w:r>
        <w:rPr>
          <w:rFonts w:hint="eastAsia" w:ascii="楷体_GB2312" w:hAnsi="Times New Roman" w:eastAsia="楷体_GB2312" w:cs="楷体_GB2312"/>
          <w:b/>
          <w:bCs/>
          <w:sz w:val="32"/>
          <w:szCs w:val="32"/>
        </w:rPr>
        <w:t>（二）财政拨款收支与年初预算数对比情况</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年度一般公共预算财政拨款收入</w:t>
      </w:r>
      <w:r>
        <w:rPr>
          <w:rFonts w:hint="eastAsia" w:ascii="仿宋_GB2312" w:hAnsi="Times New Roman" w:eastAsia="仿宋_GB2312" w:cs="仿宋_GB2312"/>
          <w:sz w:val="32"/>
          <w:szCs w:val="32"/>
          <w:lang w:val="en-US" w:eastAsia="zh-CN"/>
        </w:rPr>
        <w:t>1176.8万元，</w:t>
      </w:r>
      <w:r>
        <w:rPr>
          <w:rFonts w:hint="eastAsia" w:ascii="仿宋_GB2312" w:hAnsi="Times New Roman" w:eastAsia="仿宋_GB2312" w:cs="仿宋_GB2312"/>
          <w:sz w:val="32"/>
          <w:szCs w:val="32"/>
        </w:rPr>
        <w:t>完成年初预算的</w:t>
      </w:r>
      <w:r>
        <w:rPr>
          <w:rFonts w:hint="eastAsia" w:ascii="仿宋_GB2312" w:hAnsi="Times New Roman" w:eastAsia="仿宋_GB2312" w:cs="仿宋_GB2312"/>
          <w:sz w:val="32"/>
          <w:szCs w:val="32"/>
          <w:lang w:val="en-US" w:eastAsia="zh-CN"/>
        </w:rPr>
        <w:t>106.5</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比年初预算增加</w:t>
      </w:r>
      <w:r>
        <w:rPr>
          <w:rFonts w:hint="eastAsia" w:ascii="仿宋_GB2312" w:hAnsi="Times New Roman" w:eastAsia="仿宋_GB2312" w:cs="仿宋_GB2312"/>
          <w:sz w:val="32"/>
          <w:szCs w:val="32"/>
          <w:lang w:val="en-US" w:eastAsia="zh-CN"/>
        </w:rPr>
        <w:t>59.8</w:t>
      </w:r>
      <w:r>
        <w:rPr>
          <w:rFonts w:hint="eastAsia" w:ascii="仿宋_GB2312" w:hAnsi="Times New Roman" w:eastAsia="仿宋_GB2312" w:cs="仿宋_GB2312"/>
          <w:sz w:val="32"/>
          <w:szCs w:val="32"/>
        </w:rPr>
        <w:t>万元，决算数大于预算数主要原因是</w:t>
      </w:r>
      <w:r>
        <w:rPr>
          <w:rFonts w:hint="eastAsia" w:ascii="仿宋" w:hAnsi="仿宋" w:eastAsia="仿宋" w:cs="仿宋"/>
          <w:kern w:val="0"/>
          <w:sz w:val="32"/>
          <w:szCs w:val="32"/>
        </w:rPr>
        <w:t>机构改革后巡察办成立，增加巡察专项经费</w:t>
      </w:r>
      <w:r>
        <w:rPr>
          <w:rFonts w:hint="eastAsia" w:ascii="仿宋_GB2312" w:hAnsi="Times New Roman" w:eastAsia="仿宋_GB2312" w:cs="仿宋_GB2312"/>
          <w:sz w:val="32"/>
          <w:szCs w:val="32"/>
        </w:rPr>
        <w:t>；本年支出</w:t>
      </w:r>
      <w:r>
        <w:rPr>
          <w:rFonts w:ascii="仿宋_GB2312" w:hAnsi="Times New Roman" w:eastAsia="仿宋_GB2312" w:cs="仿宋_GB2312"/>
          <w:sz w:val="32"/>
          <w:szCs w:val="32"/>
        </w:rPr>
        <w:t>1176.8</w:t>
      </w:r>
      <w:r>
        <w:rPr>
          <w:rFonts w:hint="eastAsia" w:ascii="仿宋_GB2312" w:hAnsi="Times New Roman" w:eastAsia="仿宋_GB2312" w:cs="仿宋_GB2312"/>
          <w:sz w:val="32"/>
          <w:szCs w:val="32"/>
        </w:rPr>
        <w:t>万元，完成年初预算的</w:t>
      </w:r>
      <w:r>
        <w:rPr>
          <w:rFonts w:hint="eastAsia" w:ascii="仿宋_GB2312" w:hAnsi="Times New Roman" w:eastAsia="仿宋_GB2312" w:cs="仿宋_GB2312"/>
          <w:sz w:val="32"/>
          <w:szCs w:val="32"/>
          <w:lang w:val="en-US" w:eastAsia="zh-CN"/>
        </w:rPr>
        <w:t>106.5</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比年初预算增加</w:t>
      </w:r>
      <w:r>
        <w:rPr>
          <w:rFonts w:hint="eastAsia" w:ascii="仿宋_GB2312" w:hAnsi="Times New Roman" w:eastAsia="仿宋_GB2312" w:cs="仿宋_GB2312"/>
          <w:sz w:val="32"/>
          <w:szCs w:val="32"/>
          <w:lang w:val="en-US" w:eastAsia="zh-CN"/>
        </w:rPr>
        <w:t>59.8</w:t>
      </w:r>
      <w:r>
        <w:rPr>
          <w:rFonts w:hint="eastAsia" w:ascii="仿宋_GB2312" w:hAnsi="Times New Roman" w:eastAsia="仿宋_GB2312" w:cs="仿宋_GB2312"/>
          <w:sz w:val="32"/>
          <w:szCs w:val="32"/>
        </w:rPr>
        <w:t>万元，决算数大于预算数主要原因是主要是是</w:t>
      </w:r>
      <w:r>
        <w:rPr>
          <w:rFonts w:hint="eastAsia" w:ascii="仿宋" w:hAnsi="仿宋" w:eastAsia="仿宋" w:cs="仿宋"/>
          <w:kern w:val="0"/>
          <w:sz w:val="32"/>
          <w:szCs w:val="32"/>
        </w:rPr>
        <w:t>机构改革后巡察办成立，增加巡察专项经费</w:t>
      </w:r>
      <w:r>
        <w:rPr>
          <w:rFonts w:hint="eastAsia" w:ascii="仿宋_GB2312" w:hAnsi="Times New Roman" w:eastAsia="仿宋_GB2312" w:cs="仿宋_GB2312"/>
          <w:sz w:val="32"/>
          <w:szCs w:val="32"/>
        </w:rPr>
        <w:t>。</w:t>
      </w:r>
    </w:p>
    <w:p>
      <w:pPr>
        <w:keepNext w:val="0"/>
        <w:keepLines w:val="0"/>
        <w:pageBreakBefore w:val="0"/>
        <w:widowControl w:val="0"/>
        <w:numPr>
          <w:numId w:val="0"/>
        </w:numPr>
        <w:kinsoku/>
        <w:wordWrap/>
        <w:overflowPunct/>
        <w:topLinePunct w:val="0"/>
        <w:autoSpaceDE/>
        <w:autoSpaceDN/>
        <w:bidi w:val="0"/>
        <w:adjustRightInd w:val="0"/>
        <w:snapToGrid w:val="0"/>
        <w:spacing w:line="58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lang w:eastAsia="zh-CN"/>
        </w:rPr>
        <w:t>（</w:t>
      </w:r>
      <w:r>
        <w:rPr>
          <w:rFonts w:hint="eastAsia" w:ascii="楷体_GB2312" w:hAnsi="Times New Roman" w:eastAsia="楷体_GB2312" w:cs="楷体_GB2312"/>
          <w:b/>
          <w:bCs/>
          <w:sz w:val="32"/>
          <w:szCs w:val="32"/>
          <w:lang w:val="en-US" w:eastAsia="zh-CN"/>
        </w:rPr>
        <w:t>三</w:t>
      </w:r>
      <w:r>
        <w:rPr>
          <w:rFonts w:hint="eastAsia" w:ascii="楷体_GB2312" w:hAnsi="Times New Roman" w:eastAsia="楷体_GB2312" w:cs="楷体_GB2312"/>
          <w:b/>
          <w:bCs/>
          <w:sz w:val="32"/>
          <w:szCs w:val="32"/>
          <w:lang w:eastAsia="zh-CN"/>
        </w:rPr>
        <w:t>）</w:t>
      </w:r>
      <w:r>
        <w:rPr>
          <w:rFonts w:hint="eastAsia" w:ascii="楷体_GB2312" w:hAnsi="Times New Roman" w:eastAsia="楷体_GB2312" w:cs="楷体_GB2312"/>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仿宋_GB2312"/>
          <w:sz w:val="32"/>
          <w:szCs w:val="32"/>
        </w:rPr>
      </w:pPr>
      <w:r>
        <w:rPr>
          <w:rFonts w:ascii="仿宋_GB2312" w:hAnsi="Times New Roman" w:eastAsia="仿宋_GB2312" w:cs="仿宋_GB2312"/>
          <w:sz w:val="32"/>
          <w:szCs w:val="32"/>
        </w:rPr>
        <w:t xml:space="preserve">2019 </w:t>
      </w:r>
      <w:r>
        <w:rPr>
          <w:rFonts w:hint="eastAsia" w:ascii="仿宋_GB2312" w:hAnsi="Times New Roman" w:eastAsia="仿宋_GB2312" w:cs="仿宋_GB2312"/>
          <w:sz w:val="32"/>
          <w:szCs w:val="32"/>
        </w:rPr>
        <w:t>年度财政拨款支出</w:t>
      </w:r>
      <w:r>
        <w:rPr>
          <w:rFonts w:ascii="仿宋_GB2312" w:hAnsi="Times New Roman" w:eastAsia="仿宋_GB2312" w:cs="仿宋_GB2312"/>
          <w:sz w:val="32"/>
          <w:szCs w:val="32"/>
        </w:rPr>
        <w:t>1176.8</w:t>
      </w:r>
      <w:r>
        <w:rPr>
          <w:rFonts w:hint="eastAsia" w:ascii="仿宋_GB2312" w:hAnsi="Times New Roman" w:eastAsia="仿宋_GB2312" w:cs="仿宋_GB2312"/>
          <w:sz w:val="32"/>
          <w:szCs w:val="32"/>
        </w:rPr>
        <w:t>万元，主要用于以下方面：一般公共服务（类）支出</w:t>
      </w:r>
      <w:r>
        <w:rPr>
          <w:rFonts w:ascii="仿宋_GB2312" w:hAnsi="Times New Roman" w:eastAsia="仿宋_GB2312" w:cs="仿宋_GB2312"/>
          <w:sz w:val="32"/>
          <w:szCs w:val="32"/>
        </w:rPr>
        <w:t>975.08</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82.</w:t>
      </w:r>
      <w:r>
        <w:rPr>
          <w:rFonts w:hint="eastAsia" w:ascii="仿宋_GB2312" w:hAnsi="Times New Roman" w:eastAsia="仿宋_GB2312" w:cs="仿宋_GB2312"/>
          <w:sz w:val="32"/>
          <w:szCs w:val="32"/>
          <w:lang w:val="en-US" w:eastAsia="zh-CN"/>
        </w:rPr>
        <w:t>9</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，；社会保障和就业（类）支出</w:t>
      </w:r>
      <w:r>
        <w:rPr>
          <w:rFonts w:ascii="仿宋_GB2312" w:hAnsi="Times New Roman" w:eastAsia="仿宋_GB2312" w:cs="仿宋_GB2312"/>
          <w:sz w:val="32"/>
          <w:szCs w:val="32"/>
        </w:rPr>
        <w:t>115.62</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9.8%</w:t>
      </w:r>
      <w:r>
        <w:rPr>
          <w:rFonts w:hint="eastAsia" w:ascii="仿宋_GB2312" w:hAnsi="Times New Roman" w:eastAsia="仿宋_GB2312" w:cs="仿宋_GB2312"/>
          <w:sz w:val="32"/>
          <w:szCs w:val="32"/>
        </w:rPr>
        <w:t>；卫生健康</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类</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支出</w:t>
      </w:r>
      <w:r>
        <w:rPr>
          <w:rFonts w:ascii="仿宋_GB2312" w:hAnsi="Times New Roman" w:eastAsia="仿宋_GB2312" w:cs="仿宋_GB2312"/>
          <w:sz w:val="32"/>
          <w:szCs w:val="32"/>
        </w:rPr>
        <w:t>28.89</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2.</w:t>
      </w:r>
      <w:r>
        <w:rPr>
          <w:rFonts w:hint="eastAsia" w:ascii="仿宋_GB2312" w:hAnsi="Times New Roman" w:eastAsia="仿宋_GB2312" w:cs="仿宋_GB2312"/>
          <w:sz w:val="32"/>
          <w:szCs w:val="32"/>
          <w:lang w:val="en-US" w:eastAsia="zh-CN"/>
        </w:rPr>
        <w:t>5</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；住房保障（类）支出</w:t>
      </w:r>
      <w:r>
        <w:rPr>
          <w:rFonts w:ascii="仿宋_GB2312" w:hAnsi="Times New Roman" w:eastAsia="仿宋_GB2312" w:cs="仿宋_GB2312"/>
          <w:sz w:val="32"/>
          <w:szCs w:val="32"/>
        </w:rPr>
        <w:t>57.21</w:t>
      </w:r>
      <w:r>
        <w:rPr>
          <w:rFonts w:hint="eastAsia" w:ascii="仿宋_GB2312" w:hAnsi="Times New Roman" w:eastAsia="仿宋_GB2312" w:cs="仿宋_GB2312"/>
          <w:sz w:val="32"/>
          <w:szCs w:val="32"/>
        </w:rPr>
        <w:t>万元，占</w:t>
      </w:r>
      <w:r>
        <w:rPr>
          <w:rFonts w:ascii="仿宋_GB2312" w:hAnsi="Times New Roman" w:eastAsia="仿宋_GB2312" w:cs="仿宋_GB2312"/>
          <w:sz w:val="32"/>
          <w:szCs w:val="32"/>
        </w:rPr>
        <w:t>4.</w:t>
      </w:r>
      <w:r>
        <w:rPr>
          <w:rFonts w:hint="eastAsia" w:ascii="仿宋_GB2312" w:hAnsi="Times New Roman" w:eastAsia="仿宋_GB2312" w:cs="仿宋_GB2312"/>
          <w:sz w:val="32"/>
          <w:szCs w:val="32"/>
          <w:lang w:val="en-US" w:eastAsia="zh-CN"/>
        </w:rPr>
        <w:t>8</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p>
    <w:p>
      <w:pPr>
        <w:adjustRightInd w:val="0"/>
        <w:snapToGrid w:val="0"/>
        <w:spacing w:line="58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Times New Roman"/>
          <w:sz w:val="32"/>
          <w:szCs w:val="32"/>
        </w:rPr>
      </w:pPr>
      <w:bookmarkStart w:id="0" w:name="_GoBack"/>
      <w:bookmarkEnd w:id="0"/>
      <w:r>
        <w:rPr>
          <w:rFonts w:ascii="仿宋_GB2312" w:hAnsi="Times New Roman" w:eastAsia="仿宋_GB2312" w:cs="仿宋_GB2312"/>
          <w:sz w:val="32"/>
          <w:szCs w:val="32"/>
        </w:rPr>
        <w:t xml:space="preserve">2019 </w:t>
      </w:r>
      <w:r>
        <w:rPr>
          <w:rFonts w:hint="eastAsia" w:ascii="仿宋_GB2312" w:hAnsi="Times New Roman" w:eastAsia="仿宋_GB2312" w:cs="仿宋_GB2312"/>
          <w:sz w:val="32"/>
          <w:szCs w:val="32"/>
        </w:rPr>
        <w:t>年度财政拨款基本支出</w:t>
      </w:r>
      <w:r>
        <w:rPr>
          <w:rFonts w:ascii="仿宋_GB2312" w:hAnsi="Times New Roman" w:eastAsia="仿宋_GB2312" w:cs="仿宋_GB2312"/>
          <w:sz w:val="32"/>
          <w:szCs w:val="32"/>
        </w:rPr>
        <w:t>1160.54</w:t>
      </w:r>
      <w:r>
        <w:rPr>
          <w:rFonts w:hint="eastAsia" w:ascii="仿宋_GB2312" w:hAnsi="Times New Roman" w:eastAsia="仿宋_GB2312" w:cs="仿宋_GB2312"/>
          <w:sz w:val="32"/>
          <w:szCs w:val="32"/>
        </w:rPr>
        <w:t>万元，其中：人员经费</w:t>
      </w:r>
      <w:r>
        <w:rPr>
          <w:rFonts w:ascii="仿宋_GB2312" w:hAnsi="Times New Roman" w:eastAsia="仿宋_GB2312" w:cs="仿宋_GB2312"/>
          <w:sz w:val="32"/>
          <w:szCs w:val="32"/>
        </w:rPr>
        <w:t xml:space="preserve"> 900.42</w:t>
      </w:r>
      <w:r>
        <w:rPr>
          <w:rFonts w:hint="eastAsia" w:ascii="仿宋_GB2312" w:hAnsi="Times New Roman" w:eastAsia="仿宋_GB2312" w:cs="仿宋_GB2312"/>
          <w:sz w:val="32"/>
          <w:szCs w:val="32"/>
        </w:rPr>
        <w:t>万元，主要包括基本工资</w:t>
      </w:r>
      <w:r>
        <w:rPr>
          <w:rFonts w:hint="eastAsia" w:ascii="仿宋_GB2312" w:hAnsi="Times New Roman" w:eastAsia="仿宋_GB2312" w:cs="仿宋_GB2312"/>
          <w:sz w:val="32"/>
          <w:szCs w:val="32"/>
          <w:lang w:val="en-US" w:eastAsia="zh-CN"/>
        </w:rPr>
        <w:t>510.44万元</w:t>
      </w:r>
      <w:r>
        <w:rPr>
          <w:rFonts w:hint="eastAsia" w:ascii="仿宋_GB2312" w:hAnsi="Times New Roman" w:eastAsia="仿宋_GB2312" w:cs="仿宋_GB2312"/>
          <w:sz w:val="32"/>
          <w:szCs w:val="32"/>
        </w:rPr>
        <w:t>、津贴补贴</w:t>
      </w:r>
      <w:r>
        <w:rPr>
          <w:rFonts w:hint="eastAsia" w:ascii="仿宋_GB2312" w:hAnsi="Times New Roman" w:eastAsia="仿宋_GB2312" w:cs="仿宋_GB2312"/>
          <w:sz w:val="32"/>
          <w:szCs w:val="32"/>
          <w:lang w:val="en-US" w:eastAsia="zh-CN"/>
        </w:rPr>
        <w:t>52.40万元</w:t>
      </w:r>
      <w:r>
        <w:rPr>
          <w:rFonts w:hint="eastAsia" w:ascii="仿宋_GB2312" w:hAnsi="Times New Roman" w:eastAsia="仿宋_GB2312" w:cs="仿宋_GB2312"/>
          <w:sz w:val="32"/>
          <w:szCs w:val="32"/>
        </w:rPr>
        <w:t>、奖金</w:t>
      </w:r>
      <w:r>
        <w:rPr>
          <w:rFonts w:hint="eastAsia" w:ascii="仿宋_GB2312" w:hAnsi="Times New Roman" w:eastAsia="仿宋_GB2312" w:cs="仿宋_GB2312"/>
          <w:sz w:val="32"/>
          <w:szCs w:val="32"/>
          <w:lang w:val="en-US" w:eastAsia="zh-CN"/>
        </w:rPr>
        <w:t>20.21万元</w:t>
      </w:r>
      <w:r>
        <w:rPr>
          <w:rFonts w:hint="eastAsia" w:ascii="仿宋_GB2312" w:hAnsi="Times New Roman" w:eastAsia="仿宋_GB2312" w:cs="仿宋_GB2312"/>
          <w:sz w:val="32"/>
          <w:szCs w:val="32"/>
        </w:rPr>
        <w:t>、</w:t>
      </w:r>
      <w:r>
        <w:rPr>
          <w:rFonts w:hint="eastAsia" w:ascii="仿宋" w:hAnsi="仿宋" w:eastAsia="仿宋" w:cs="宋体"/>
          <w:kern w:val="0"/>
          <w:sz w:val="32"/>
          <w:szCs w:val="32"/>
        </w:rPr>
        <w:t>伙食补助费0万元、绩效工资0万元、</w:t>
      </w:r>
      <w:r>
        <w:rPr>
          <w:rFonts w:hint="eastAsia" w:ascii="仿宋_GB2312" w:hAnsi="Times New Roman" w:eastAsia="仿宋_GB2312" w:cs="仿宋_GB2312"/>
          <w:sz w:val="32"/>
          <w:szCs w:val="32"/>
        </w:rPr>
        <w:t>机关事业单位基本养老保险缴费</w:t>
      </w:r>
      <w:r>
        <w:rPr>
          <w:rFonts w:hint="eastAsia" w:ascii="仿宋_GB2312" w:hAnsi="Times New Roman" w:eastAsia="仿宋_GB2312" w:cs="仿宋_GB2312"/>
          <w:sz w:val="32"/>
          <w:szCs w:val="32"/>
          <w:lang w:val="en-US" w:eastAsia="zh-CN"/>
        </w:rPr>
        <w:t>88.27万元</w:t>
      </w:r>
      <w:r>
        <w:rPr>
          <w:rFonts w:hint="eastAsia" w:ascii="仿宋_GB2312" w:hAnsi="Times New Roman" w:eastAsia="仿宋_GB2312" w:cs="仿宋_GB2312"/>
          <w:sz w:val="32"/>
          <w:szCs w:val="32"/>
        </w:rPr>
        <w:t>、职工基本医疗保险缴费</w:t>
      </w:r>
      <w:r>
        <w:rPr>
          <w:rFonts w:hint="eastAsia" w:ascii="仿宋_GB2312" w:hAnsi="Times New Roman" w:eastAsia="仿宋_GB2312" w:cs="仿宋_GB2312"/>
          <w:sz w:val="32"/>
          <w:szCs w:val="32"/>
          <w:lang w:val="en-US" w:eastAsia="zh-CN"/>
        </w:rPr>
        <w:t>28.89万元</w:t>
      </w:r>
      <w:r>
        <w:rPr>
          <w:rFonts w:hint="eastAsia" w:ascii="仿宋_GB2312" w:hAnsi="Times New Roman" w:eastAsia="仿宋_GB2312" w:cs="仿宋_GB2312"/>
          <w:sz w:val="32"/>
          <w:szCs w:val="32"/>
        </w:rPr>
        <w:t>、</w:t>
      </w:r>
      <w:r>
        <w:rPr>
          <w:rFonts w:hint="eastAsia" w:ascii="仿宋" w:hAnsi="仿宋" w:eastAsia="仿宋" w:cs="宋体"/>
          <w:kern w:val="0"/>
          <w:sz w:val="32"/>
          <w:szCs w:val="32"/>
        </w:rPr>
        <w:t>公务员医疗补助缴费0万元、</w:t>
      </w:r>
      <w:r>
        <w:rPr>
          <w:rFonts w:hint="eastAsia" w:ascii="仿宋_GB2312" w:hAnsi="Times New Roman" w:eastAsia="仿宋_GB2312" w:cs="仿宋_GB2312"/>
          <w:sz w:val="32"/>
          <w:szCs w:val="32"/>
        </w:rPr>
        <w:t>住房公积金</w:t>
      </w:r>
      <w:r>
        <w:rPr>
          <w:rFonts w:hint="eastAsia" w:ascii="仿宋_GB2312" w:hAnsi="Times New Roman" w:eastAsia="仿宋_GB2312" w:cs="仿宋_GB2312"/>
          <w:sz w:val="32"/>
          <w:szCs w:val="32"/>
          <w:lang w:val="en-US" w:eastAsia="zh-CN"/>
        </w:rPr>
        <w:t>57.21万元</w:t>
      </w:r>
      <w:r>
        <w:rPr>
          <w:rFonts w:hint="eastAsia" w:ascii="仿宋_GB2312" w:hAnsi="Times New Roman" w:eastAsia="仿宋_GB2312" w:cs="仿宋_GB2312"/>
          <w:sz w:val="32"/>
          <w:szCs w:val="32"/>
        </w:rPr>
        <w:t>、</w:t>
      </w:r>
      <w:r>
        <w:rPr>
          <w:rFonts w:hint="eastAsia" w:ascii="仿宋" w:hAnsi="仿宋" w:eastAsia="仿宋" w:cs="宋体"/>
          <w:kern w:val="0"/>
          <w:sz w:val="32"/>
          <w:szCs w:val="32"/>
        </w:rPr>
        <w:t>医疗费0万元、</w:t>
      </w:r>
      <w:r>
        <w:rPr>
          <w:rFonts w:hint="eastAsia" w:ascii="仿宋_GB2312" w:hAnsi="Times New Roman" w:eastAsia="仿宋_GB2312" w:cs="仿宋_GB2312"/>
          <w:sz w:val="32"/>
          <w:szCs w:val="32"/>
        </w:rPr>
        <w:t>其他社会保障缴费</w:t>
      </w:r>
      <w:r>
        <w:rPr>
          <w:rFonts w:hint="eastAsia" w:ascii="仿宋_GB2312" w:hAnsi="Times New Roman" w:eastAsia="仿宋_GB2312" w:cs="仿宋_GB2312"/>
          <w:sz w:val="32"/>
          <w:szCs w:val="32"/>
          <w:lang w:val="en-US" w:eastAsia="zh-CN"/>
        </w:rPr>
        <w:t>4.20万元</w:t>
      </w:r>
      <w:r>
        <w:rPr>
          <w:rFonts w:hint="eastAsia" w:ascii="仿宋_GB2312" w:hAnsi="Times New Roman" w:eastAsia="仿宋_GB2312" w:cs="仿宋_GB2312"/>
          <w:sz w:val="32"/>
          <w:szCs w:val="32"/>
        </w:rPr>
        <w:t>、其他工资福利支出</w:t>
      </w:r>
      <w:r>
        <w:rPr>
          <w:rFonts w:hint="eastAsia" w:ascii="仿宋_GB2312" w:hAnsi="Times New Roman" w:eastAsia="仿宋_GB2312" w:cs="仿宋_GB2312"/>
          <w:sz w:val="32"/>
          <w:szCs w:val="32"/>
          <w:lang w:val="en-US" w:eastAsia="zh-CN"/>
        </w:rPr>
        <w:t>89.12万元</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离休费0万元、</w:t>
      </w:r>
      <w:r>
        <w:rPr>
          <w:rFonts w:hint="eastAsia" w:ascii="仿宋_GB2312" w:hAnsi="Times New Roman" w:eastAsia="仿宋_GB2312" w:cs="仿宋_GB2312"/>
          <w:sz w:val="32"/>
          <w:szCs w:val="32"/>
        </w:rPr>
        <w:t>退休费</w:t>
      </w:r>
      <w:r>
        <w:rPr>
          <w:rFonts w:hint="eastAsia" w:ascii="仿宋_GB2312" w:hAnsi="Times New Roman" w:eastAsia="仿宋_GB2312" w:cs="仿宋_GB2312"/>
          <w:sz w:val="32"/>
          <w:szCs w:val="32"/>
          <w:lang w:val="en-US" w:eastAsia="zh-CN"/>
        </w:rPr>
        <w:t>11.45万元</w:t>
      </w:r>
      <w:r>
        <w:rPr>
          <w:rFonts w:hint="eastAsia" w:ascii="仿宋_GB2312" w:hAnsi="Times New Roman" w:eastAsia="仿宋_GB2312" w:cs="仿宋_GB2312"/>
          <w:sz w:val="32"/>
          <w:szCs w:val="32"/>
        </w:rPr>
        <w:t>、抚恤金</w:t>
      </w:r>
      <w:r>
        <w:rPr>
          <w:rFonts w:hint="eastAsia" w:ascii="仿宋_GB2312" w:hAnsi="Times New Roman" w:eastAsia="仿宋_GB2312" w:cs="仿宋_GB2312"/>
          <w:sz w:val="32"/>
          <w:szCs w:val="32"/>
          <w:lang w:val="en-US" w:eastAsia="zh-CN"/>
        </w:rPr>
        <w:t>34.59万元</w:t>
      </w:r>
      <w:r>
        <w:rPr>
          <w:rFonts w:hint="eastAsia" w:ascii="仿宋_GB2312" w:hAnsi="Times New Roman" w:eastAsia="仿宋_GB2312" w:cs="仿宋_GB2312"/>
          <w:sz w:val="32"/>
          <w:szCs w:val="32"/>
        </w:rPr>
        <w:t>、生活补助</w:t>
      </w:r>
      <w:r>
        <w:rPr>
          <w:rFonts w:hint="eastAsia" w:ascii="仿宋_GB2312" w:hAnsi="Times New Roman" w:eastAsia="仿宋_GB2312" w:cs="仿宋_GB2312"/>
          <w:sz w:val="32"/>
          <w:szCs w:val="32"/>
          <w:lang w:val="en-US" w:eastAsia="zh-CN"/>
        </w:rPr>
        <w:t>2.31万元</w:t>
      </w:r>
      <w:r>
        <w:rPr>
          <w:rFonts w:hint="eastAsia" w:ascii="仿宋_GB2312" w:hAnsi="Times New Roman" w:eastAsia="仿宋_GB2312" w:cs="仿宋_GB2312"/>
          <w:sz w:val="32"/>
          <w:szCs w:val="32"/>
        </w:rPr>
        <w:t>、</w:t>
      </w:r>
      <w:r>
        <w:rPr>
          <w:rFonts w:hint="eastAsia" w:ascii="仿宋" w:hAnsi="仿宋" w:eastAsia="仿宋" w:cs="宋体"/>
          <w:kern w:val="0"/>
          <w:sz w:val="32"/>
          <w:szCs w:val="32"/>
        </w:rPr>
        <w:t>医疗费补助0万元、</w:t>
      </w:r>
      <w:r>
        <w:rPr>
          <w:rFonts w:hint="eastAsia" w:ascii="仿宋_GB2312" w:hAnsi="Times New Roman" w:eastAsia="仿宋_GB2312" w:cs="仿宋_GB2312"/>
          <w:sz w:val="32"/>
          <w:szCs w:val="32"/>
        </w:rPr>
        <w:t>奖励金</w:t>
      </w:r>
      <w:r>
        <w:rPr>
          <w:rFonts w:hint="eastAsia" w:ascii="仿宋_GB2312" w:hAnsi="Times New Roman" w:eastAsia="仿宋_GB2312" w:cs="仿宋_GB2312"/>
          <w:sz w:val="32"/>
          <w:szCs w:val="32"/>
          <w:lang w:val="en-US" w:eastAsia="zh-CN"/>
        </w:rPr>
        <w:t>1.29万元</w:t>
      </w:r>
      <w:r>
        <w:rPr>
          <w:rFonts w:hint="eastAsia" w:ascii="仿宋_GB2312" w:hAnsi="Times New Roman" w:eastAsia="仿宋_GB2312" w:cs="仿宋_GB2312"/>
          <w:sz w:val="32"/>
          <w:szCs w:val="32"/>
        </w:rPr>
        <w:t>、其他对个人和家庭的补助支出</w:t>
      </w:r>
      <w:r>
        <w:rPr>
          <w:rFonts w:hint="eastAsia" w:ascii="仿宋_GB2312" w:hAnsi="Times New Roman" w:eastAsia="仿宋_GB2312" w:cs="仿宋_GB2312"/>
          <w:sz w:val="32"/>
          <w:szCs w:val="32"/>
          <w:lang w:val="en-US" w:eastAsia="zh-CN"/>
        </w:rPr>
        <w:t>0.03万元</w:t>
      </w:r>
      <w:r>
        <w:rPr>
          <w:rFonts w:hint="eastAsia" w:ascii="仿宋_GB2312" w:hAnsi="Times New Roman" w:eastAsia="仿宋_GB2312" w:cs="仿宋_GB2312"/>
          <w:sz w:val="32"/>
          <w:szCs w:val="32"/>
        </w:rPr>
        <w:t>；公用经费</w:t>
      </w:r>
      <w:r>
        <w:rPr>
          <w:rFonts w:ascii="仿宋_GB2312" w:hAnsi="Times New Roman" w:eastAsia="仿宋_GB2312" w:cs="仿宋_GB2312"/>
          <w:sz w:val="32"/>
          <w:szCs w:val="32"/>
        </w:rPr>
        <w:t xml:space="preserve"> 260.12</w:t>
      </w:r>
      <w:r>
        <w:rPr>
          <w:rFonts w:hint="eastAsia" w:ascii="仿宋_GB2312" w:hAnsi="Times New Roman" w:eastAsia="仿宋_GB2312" w:cs="仿宋_GB2312"/>
          <w:sz w:val="32"/>
          <w:szCs w:val="32"/>
        </w:rPr>
        <w:t>万元，主要包括办公费</w:t>
      </w:r>
      <w:r>
        <w:rPr>
          <w:rFonts w:hint="eastAsia" w:ascii="仿宋_GB2312" w:hAnsi="Times New Roman" w:eastAsia="仿宋_GB2312" w:cs="仿宋_GB2312"/>
          <w:sz w:val="32"/>
          <w:szCs w:val="32"/>
          <w:lang w:val="en-US" w:eastAsia="zh-CN"/>
        </w:rPr>
        <w:t>33.01万元</w:t>
      </w:r>
      <w:r>
        <w:rPr>
          <w:rFonts w:hint="eastAsia" w:ascii="仿宋_GB2312" w:hAnsi="Times New Roman" w:eastAsia="仿宋_GB2312" w:cs="仿宋_GB2312"/>
          <w:sz w:val="32"/>
          <w:szCs w:val="32"/>
        </w:rPr>
        <w:t>、印刷费</w:t>
      </w:r>
      <w:r>
        <w:rPr>
          <w:rFonts w:hint="eastAsia" w:ascii="仿宋_GB2312" w:hAnsi="Times New Roman" w:eastAsia="仿宋_GB2312" w:cs="仿宋_GB2312"/>
          <w:sz w:val="32"/>
          <w:szCs w:val="32"/>
          <w:lang w:val="en-US" w:eastAsia="zh-CN"/>
        </w:rPr>
        <w:t>1.90万元</w:t>
      </w:r>
      <w:r>
        <w:rPr>
          <w:rFonts w:hint="eastAsia" w:ascii="仿宋_GB2312" w:hAnsi="Times New Roman" w:eastAsia="仿宋_GB2312" w:cs="仿宋_GB2312"/>
          <w:sz w:val="32"/>
          <w:szCs w:val="32"/>
        </w:rPr>
        <w:t>、手续费</w:t>
      </w:r>
      <w:r>
        <w:rPr>
          <w:rFonts w:hint="eastAsia" w:ascii="仿宋_GB2312" w:hAnsi="Times New Roman" w:eastAsia="仿宋_GB2312" w:cs="仿宋_GB2312"/>
          <w:sz w:val="32"/>
          <w:szCs w:val="32"/>
          <w:lang w:val="en-US" w:eastAsia="zh-CN"/>
        </w:rPr>
        <w:t>0.06万元</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水费0万元、</w:t>
      </w:r>
      <w:r>
        <w:rPr>
          <w:rFonts w:hint="eastAsia" w:ascii="仿宋_GB2312" w:hAnsi="Times New Roman" w:eastAsia="仿宋_GB2312" w:cs="仿宋_GB2312"/>
          <w:sz w:val="32"/>
          <w:szCs w:val="32"/>
        </w:rPr>
        <w:t>电费</w:t>
      </w:r>
      <w:r>
        <w:rPr>
          <w:rFonts w:hint="eastAsia" w:ascii="仿宋_GB2312" w:hAnsi="Times New Roman" w:eastAsia="仿宋_GB2312" w:cs="仿宋_GB2312"/>
          <w:sz w:val="32"/>
          <w:szCs w:val="32"/>
          <w:lang w:val="en-US" w:eastAsia="zh-CN"/>
        </w:rPr>
        <w:t>8.71万元</w:t>
      </w:r>
      <w:r>
        <w:rPr>
          <w:rFonts w:hint="eastAsia" w:ascii="仿宋_GB2312" w:hAnsi="Times New Roman" w:eastAsia="仿宋_GB2312" w:cs="仿宋_GB2312"/>
          <w:sz w:val="32"/>
          <w:szCs w:val="32"/>
        </w:rPr>
        <w:t>、邮电费</w:t>
      </w:r>
      <w:r>
        <w:rPr>
          <w:rFonts w:hint="eastAsia" w:ascii="仿宋_GB2312" w:hAnsi="Times New Roman" w:eastAsia="仿宋_GB2312" w:cs="仿宋_GB2312"/>
          <w:sz w:val="32"/>
          <w:szCs w:val="32"/>
          <w:lang w:val="en-US" w:eastAsia="zh-CN"/>
        </w:rPr>
        <w:t>28.80万元</w:t>
      </w:r>
      <w:r>
        <w:rPr>
          <w:rFonts w:hint="eastAsia" w:ascii="仿宋_GB2312" w:hAnsi="Times New Roman" w:eastAsia="仿宋_GB2312" w:cs="仿宋_GB2312"/>
          <w:sz w:val="32"/>
          <w:szCs w:val="32"/>
        </w:rPr>
        <w:t>、</w:t>
      </w:r>
      <w:r>
        <w:rPr>
          <w:rFonts w:hint="eastAsia" w:ascii="仿宋_GB2312" w:hAnsi="Times New Roman" w:eastAsia="仿宋_GB2312" w:cs="仿宋_GB2312"/>
          <w:sz w:val="32"/>
          <w:szCs w:val="32"/>
          <w:lang w:val="en-US" w:eastAsia="zh-CN"/>
        </w:rPr>
        <w:t>取暖费0万元、</w:t>
      </w:r>
      <w:r>
        <w:rPr>
          <w:rFonts w:hint="eastAsia" w:ascii="仿宋_GB2312" w:hAnsi="Times New Roman" w:eastAsia="仿宋_GB2312" w:cs="仿宋_GB2312"/>
          <w:sz w:val="32"/>
          <w:szCs w:val="32"/>
        </w:rPr>
        <w:t>物业管理费</w:t>
      </w:r>
      <w:r>
        <w:rPr>
          <w:rFonts w:hint="eastAsia" w:ascii="仿宋_GB2312" w:hAnsi="Times New Roman" w:eastAsia="仿宋_GB2312" w:cs="仿宋_GB2312"/>
          <w:sz w:val="32"/>
          <w:szCs w:val="32"/>
          <w:lang w:val="en-US" w:eastAsia="zh-CN"/>
        </w:rPr>
        <w:t>0.07万元</w:t>
      </w:r>
      <w:r>
        <w:rPr>
          <w:rFonts w:hint="eastAsia" w:ascii="仿宋_GB2312" w:hAnsi="Times New Roman" w:eastAsia="仿宋_GB2312" w:cs="仿宋_GB2312"/>
          <w:sz w:val="32"/>
          <w:szCs w:val="32"/>
        </w:rPr>
        <w:t>、差旅费</w:t>
      </w:r>
      <w:r>
        <w:rPr>
          <w:rFonts w:hint="eastAsia" w:ascii="仿宋_GB2312" w:hAnsi="Times New Roman" w:eastAsia="仿宋_GB2312" w:cs="仿宋_GB2312"/>
          <w:sz w:val="32"/>
          <w:szCs w:val="32"/>
          <w:lang w:val="en-US" w:eastAsia="zh-CN"/>
        </w:rPr>
        <w:t>4.32万元</w:t>
      </w:r>
      <w:r>
        <w:rPr>
          <w:rFonts w:hint="eastAsia" w:ascii="仿宋_GB2312" w:hAnsi="Times New Roman" w:eastAsia="仿宋_GB2312" w:cs="仿宋_GB2312"/>
          <w:sz w:val="32"/>
          <w:szCs w:val="32"/>
        </w:rPr>
        <w:t>、</w:t>
      </w:r>
      <w:r>
        <w:rPr>
          <w:rFonts w:hint="eastAsia" w:ascii="仿宋" w:hAnsi="仿宋" w:eastAsia="仿宋" w:cs="宋体"/>
          <w:kern w:val="0"/>
          <w:sz w:val="32"/>
          <w:szCs w:val="32"/>
        </w:rPr>
        <w:t>因公出国（境）费用0万元、</w:t>
      </w:r>
      <w:r>
        <w:rPr>
          <w:rFonts w:hint="eastAsia" w:ascii="仿宋_GB2312" w:hAnsi="Times New Roman" w:eastAsia="仿宋_GB2312" w:cs="仿宋_GB2312"/>
          <w:sz w:val="32"/>
          <w:szCs w:val="32"/>
        </w:rPr>
        <w:t>维修（护）费</w:t>
      </w:r>
      <w:r>
        <w:rPr>
          <w:rFonts w:hint="eastAsia" w:ascii="仿宋_GB2312" w:hAnsi="Times New Roman" w:eastAsia="仿宋_GB2312" w:cs="仿宋_GB2312"/>
          <w:sz w:val="32"/>
          <w:szCs w:val="32"/>
          <w:lang w:val="en-US" w:eastAsia="zh-CN"/>
        </w:rPr>
        <w:t>37.95万元</w:t>
      </w:r>
      <w:r>
        <w:rPr>
          <w:rFonts w:hint="eastAsia" w:ascii="仿宋_GB2312" w:hAnsi="Times New Roman" w:eastAsia="仿宋_GB2312" w:cs="仿宋_GB2312"/>
          <w:sz w:val="32"/>
          <w:szCs w:val="32"/>
        </w:rPr>
        <w:t>、</w:t>
      </w:r>
      <w:r>
        <w:rPr>
          <w:rFonts w:hint="eastAsia" w:ascii="仿宋" w:hAnsi="仿宋" w:eastAsia="仿宋" w:cs="宋体"/>
          <w:kern w:val="0"/>
          <w:sz w:val="32"/>
          <w:szCs w:val="32"/>
        </w:rPr>
        <w:t>租赁费0万元、</w:t>
      </w:r>
      <w:r>
        <w:rPr>
          <w:rFonts w:hint="eastAsia" w:ascii="仿宋_GB2312" w:hAnsi="Times New Roman" w:eastAsia="仿宋_GB2312" w:cs="仿宋_GB2312"/>
          <w:sz w:val="32"/>
          <w:szCs w:val="32"/>
        </w:rPr>
        <w:t>会议费</w:t>
      </w:r>
      <w:r>
        <w:rPr>
          <w:rFonts w:hint="eastAsia" w:ascii="仿宋_GB2312" w:hAnsi="Times New Roman" w:eastAsia="仿宋_GB2312" w:cs="仿宋_GB2312"/>
          <w:sz w:val="32"/>
          <w:szCs w:val="32"/>
          <w:lang w:val="en-US" w:eastAsia="zh-CN"/>
        </w:rPr>
        <w:t>1.22万元</w:t>
      </w:r>
      <w:r>
        <w:rPr>
          <w:rFonts w:hint="eastAsia" w:ascii="仿宋_GB2312" w:hAnsi="Times New Roman" w:eastAsia="仿宋_GB2312" w:cs="仿宋_GB2312"/>
          <w:sz w:val="32"/>
          <w:szCs w:val="32"/>
        </w:rPr>
        <w:t>、</w:t>
      </w:r>
      <w:r>
        <w:rPr>
          <w:rFonts w:hint="eastAsia" w:ascii="仿宋" w:hAnsi="仿宋" w:eastAsia="仿宋" w:cs="宋体"/>
          <w:kern w:val="0"/>
          <w:sz w:val="32"/>
          <w:szCs w:val="32"/>
        </w:rPr>
        <w:t>培训费0万元、公务接待费0万元、专用材料费0万元、</w:t>
      </w:r>
      <w:r>
        <w:rPr>
          <w:rFonts w:hint="eastAsia" w:ascii="仿宋_GB2312" w:hAnsi="Times New Roman" w:eastAsia="仿宋_GB2312" w:cs="仿宋_GB2312"/>
          <w:sz w:val="32"/>
          <w:szCs w:val="32"/>
        </w:rPr>
        <w:t>劳务费</w:t>
      </w:r>
      <w:r>
        <w:rPr>
          <w:rFonts w:hint="eastAsia" w:ascii="仿宋_GB2312" w:hAnsi="Times New Roman" w:eastAsia="仿宋_GB2312" w:cs="仿宋_GB2312"/>
          <w:sz w:val="32"/>
          <w:szCs w:val="32"/>
          <w:lang w:val="en-US" w:eastAsia="zh-CN"/>
        </w:rPr>
        <w:t>7.42万元</w:t>
      </w:r>
      <w:r>
        <w:rPr>
          <w:rFonts w:hint="eastAsia" w:ascii="仿宋_GB2312" w:hAnsi="Times New Roman" w:eastAsia="仿宋_GB2312" w:cs="仿宋_GB2312"/>
          <w:sz w:val="32"/>
          <w:szCs w:val="32"/>
        </w:rPr>
        <w:t>、</w:t>
      </w:r>
      <w:r>
        <w:rPr>
          <w:rFonts w:hint="eastAsia" w:ascii="仿宋" w:hAnsi="仿宋" w:eastAsia="仿宋" w:cs="宋体"/>
          <w:kern w:val="0"/>
          <w:sz w:val="32"/>
          <w:szCs w:val="32"/>
        </w:rPr>
        <w:t>委托业务费0万元、</w:t>
      </w:r>
      <w:r>
        <w:rPr>
          <w:rFonts w:hint="eastAsia" w:ascii="仿宋_GB2312" w:hAnsi="Times New Roman" w:eastAsia="仿宋_GB2312" w:cs="仿宋_GB2312"/>
          <w:sz w:val="32"/>
          <w:szCs w:val="32"/>
        </w:rPr>
        <w:t>工会经费</w:t>
      </w:r>
      <w:r>
        <w:rPr>
          <w:rFonts w:hint="eastAsia" w:ascii="仿宋_GB2312" w:hAnsi="Times New Roman" w:eastAsia="仿宋_GB2312" w:cs="仿宋_GB2312"/>
          <w:sz w:val="32"/>
          <w:szCs w:val="32"/>
          <w:lang w:val="en-US" w:eastAsia="zh-CN"/>
        </w:rPr>
        <w:t>0.36万元</w:t>
      </w:r>
      <w:r>
        <w:rPr>
          <w:rFonts w:hint="eastAsia" w:ascii="仿宋_GB2312" w:hAnsi="Times New Roman" w:eastAsia="仿宋_GB2312" w:cs="仿宋_GB2312"/>
          <w:sz w:val="32"/>
          <w:szCs w:val="32"/>
        </w:rPr>
        <w:t>、福利费</w:t>
      </w:r>
      <w:r>
        <w:rPr>
          <w:rFonts w:hint="eastAsia" w:ascii="仿宋_GB2312" w:hAnsi="Times New Roman" w:eastAsia="仿宋_GB2312" w:cs="仿宋_GB2312"/>
          <w:sz w:val="32"/>
          <w:szCs w:val="32"/>
          <w:lang w:val="en-US" w:eastAsia="zh-CN"/>
        </w:rPr>
        <w:t>5.57万元</w:t>
      </w:r>
      <w:r>
        <w:rPr>
          <w:rFonts w:hint="eastAsia" w:ascii="仿宋_GB2312" w:hAnsi="Times New Roman" w:eastAsia="仿宋_GB2312" w:cs="仿宋_GB2312"/>
          <w:sz w:val="32"/>
          <w:szCs w:val="32"/>
        </w:rPr>
        <w:t>、公务用车运行维护费</w:t>
      </w:r>
      <w:r>
        <w:rPr>
          <w:rFonts w:hint="eastAsia" w:ascii="仿宋_GB2312" w:hAnsi="Times New Roman" w:eastAsia="仿宋_GB2312" w:cs="仿宋_GB2312"/>
          <w:sz w:val="32"/>
          <w:szCs w:val="32"/>
          <w:lang w:val="en-US" w:eastAsia="zh-CN"/>
        </w:rPr>
        <w:t>22.30万元</w:t>
      </w:r>
      <w:r>
        <w:rPr>
          <w:rFonts w:hint="eastAsia" w:ascii="仿宋_GB2312" w:hAnsi="Times New Roman" w:eastAsia="仿宋_GB2312" w:cs="仿宋_GB2312"/>
          <w:sz w:val="32"/>
          <w:szCs w:val="32"/>
        </w:rPr>
        <w:t>、其他交通费用</w:t>
      </w:r>
      <w:r>
        <w:rPr>
          <w:rFonts w:hint="eastAsia" w:ascii="仿宋_GB2312" w:hAnsi="Times New Roman" w:eastAsia="仿宋_GB2312" w:cs="仿宋_GB2312"/>
          <w:sz w:val="32"/>
          <w:szCs w:val="32"/>
          <w:lang w:val="en-US" w:eastAsia="zh-CN"/>
        </w:rPr>
        <w:t>43.30万元</w:t>
      </w:r>
      <w:r>
        <w:rPr>
          <w:rFonts w:hint="eastAsia" w:ascii="仿宋_GB2312" w:hAnsi="Times New Roman" w:eastAsia="仿宋_GB2312" w:cs="仿宋_GB2312"/>
          <w:sz w:val="32"/>
          <w:szCs w:val="32"/>
        </w:rPr>
        <w:t>、办公设备购置</w:t>
      </w:r>
      <w:r>
        <w:rPr>
          <w:rFonts w:hint="eastAsia" w:ascii="仿宋_GB2312" w:hAnsi="Times New Roman" w:eastAsia="仿宋_GB2312" w:cs="仿宋_GB2312"/>
          <w:sz w:val="32"/>
          <w:szCs w:val="32"/>
          <w:lang w:val="en-US" w:eastAsia="zh-CN"/>
        </w:rPr>
        <w:t>52.11万元</w:t>
      </w:r>
      <w:r>
        <w:rPr>
          <w:rFonts w:hint="eastAsia" w:ascii="仿宋_GB2312" w:hAnsi="Times New Roman" w:eastAsia="仿宋_GB2312" w:cs="仿宋_GB2312"/>
          <w:sz w:val="32"/>
          <w:szCs w:val="32"/>
        </w:rPr>
        <w:t>、</w:t>
      </w:r>
      <w:r>
        <w:rPr>
          <w:rFonts w:hint="eastAsia" w:ascii="仿宋" w:hAnsi="仿宋" w:eastAsia="仿宋" w:cs="宋体"/>
          <w:kern w:val="0"/>
          <w:sz w:val="32"/>
          <w:szCs w:val="32"/>
        </w:rPr>
        <w:t>专用设备购置0万元、信息网络及软件购置更新</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w:t>
      </w:r>
      <w:r>
        <w:rPr>
          <w:rFonts w:hint="eastAsia" w:ascii="仿宋_GB2312" w:hAnsi="Times New Roman" w:eastAsia="仿宋_GB2312" w:cs="仿宋_GB2312"/>
          <w:sz w:val="32"/>
          <w:szCs w:val="32"/>
        </w:rPr>
        <w:t>公务用车购置</w:t>
      </w:r>
      <w:r>
        <w:rPr>
          <w:rFonts w:hint="eastAsia" w:ascii="仿宋_GB2312" w:hAnsi="Times New Roman" w:eastAsia="仿宋_GB2312" w:cs="仿宋_GB2312"/>
          <w:sz w:val="32"/>
          <w:szCs w:val="32"/>
          <w:lang w:val="en-US" w:eastAsia="zh-CN"/>
        </w:rPr>
        <w:t>13.02万元、</w:t>
      </w:r>
      <w:r>
        <w:rPr>
          <w:rFonts w:hint="eastAsia" w:ascii="仿宋" w:hAnsi="仿宋" w:eastAsia="仿宋" w:cs="宋体"/>
          <w:kern w:val="0"/>
          <w:sz w:val="32"/>
          <w:szCs w:val="32"/>
        </w:rPr>
        <w:t>其他资本性支出0万元。</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五、一般公共预算“三公”</w:t>
      </w:r>
      <w:r>
        <w:rPr>
          <w:rFonts w:ascii="黑体" w:hAnsi="Calibri" w:eastAsia="黑体" w:cs="黑体"/>
          <w:sz w:val="32"/>
          <w:szCs w:val="32"/>
        </w:rPr>
        <w:t xml:space="preserve"> </w:t>
      </w:r>
      <w:r>
        <w:rPr>
          <w:rFonts w:hint="eastAsia" w:ascii="黑体" w:hAnsi="Calibri" w:eastAsia="黑体" w:cs="黑体"/>
          <w:sz w:val="32"/>
          <w:szCs w:val="32"/>
        </w:rPr>
        <w:t>经费支出决算情况说明</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年度“三公”经费支出共计</w:t>
      </w:r>
      <w:r>
        <w:rPr>
          <w:rFonts w:ascii="仿宋_GB2312" w:hAnsi="Times New Roman" w:eastAsia="仿宋_GB2312" w:cs="仿宋_GB2312"/>
          <w:sz w:val="32"/>
          <w:szCs w:val="32"/>
        </w:rPr>
        <w:t>35.32</w:t>
      </w:r>
      <w:r>
        <w:rPr>
          <w:rFonts w:hint="eastAsia" w:ascii="仿宋_GB2312" w:hAnsi="Times New Roman" w:eastAsia="仿宋_GB2312" w:cs="仿宋_GB2312"/>
          <w:sz w:val="32"/>
          <w:szCs w:val="32"/>
        </w:rPr>
        <w:t>万元，完成预算的</w:t>
      </w:r>
      <w:r>
        <w:rPr>
          <w:rFonts w:ascii="仿宋_GB2312" w:hAnsi="Times New Roman" w:eastAsia="仿宋_GB2312" w:cs="仿宋_GB2312"/>
          <w:sz w:val="32"/>
          <w:szCs w:val="32"/>
        </w:rPr>
        <w:t>99.5%,</w:t>
      </w:r>
      <w:r>
        <w:rPr>
          <w:rFonts w:hint="eastAsia" w:ascii="仿宋_GB2312" w:hAnsi="Times New Roman" w:eastAsia="仿宋_GB2312" w:cs="仿宋_GB2312"/>
          <w:sz w:val="32"/>
          <w:szCs w:val="32"/>
        </w:rPr>
        <w:t>较预算减少</w:t>
      </w:r>
      <w:r>
        <w:rPr>
          <w:rFonts w:ascii="仿宋_GB2312" w:hAnsi="Times New Roman" w:eastAsia="仿宋_GB2312" w:cs="仿宋_GB2312"/>
          <w:sz w:val="32"/>
          <w:szCs w:val="32"/>
        </w:rPr>
        <w:t>0.18</w:t>
      </w:r>
      <w:r>
        <w:rPr>
          <w:rFonts w:hint="eastAsia" w:ascii="仿宋_GB2312" w:hAnsi="Times New Roman" w:eastAsia="仿宋_GB2312" w:cs="仿宋_GB2312"/>
          <w:sz w:val="32"/>
          <w:szCs w:val="32"/>
        </w:rPr>
        <w:t>万元，减少</w:t>
      </w:r>
      <w:r>
        <w:rPr>
          <w:rFonts w:ascii="仿宋_GB2312" w:hAnsi="Times New Roman" w:eastAsia="仿宋_GB2312" w:cs="仿宋_GB2312"/>
          <w:sz w:val="32"/>
          <w:szCs w:val="32"/>
        </w:rPr>
        <w:t>0.5%</w:t>
      </w:r>
      <w:r>
        <w:rPr>
          <w:rFonts w:hint="eastAsia" w:ascii="仿宋_GB2312" w:hAnsi="Times New Roman" w:eastAsia="仿宋_GB2312" w:cs="仿宋_GB2312"/>
          <w:sz w:val="32"/>
          <w:szCs w:val="32"/>
        </w:rPr>
        <w:t>，主要是落实中央八项规定，缩减三公经费支出；较</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年度增加</w:t>
      </w:r>
      <w:r>
        <w:rPr>
          <w:rFonts w:ascii="仿宋_GB2312" w:hAnsi="Times New Roman" w:eastAsia="仿宋_GB2312" w:cs="仿宋_GB2312"/>
          <w:sz w:val="32"/>
          <w:szCs w:val="32"/>
        </w:rPr>
        <w:t>12.86</w:t>
      </w:r>
      <w:r>
        <w:rPr>
          <w:rFonts w:hint="eastAsia" w:ascii="仿宋_GB2312" w:hAnsi="Times New Roman" w:eastAsia="仿宋_GB2312" w:cs="仿宋_GB2312"/>
          <w:sz w:val="32"/>
          <w:szCs w:val="32"/>
        </w:rPr>
        <w:t>万元，增长</w:t>
      </w:r>
      <w:r>
        <w:rPr>
          <w:rFonts w:hint="eastAsia" w:ascii="仿宋_GB2312" w:hAnsi="Times New Roman" w:eastAsia="仿宋_GB2312" w:cs="仿宋_GB2312"/>
          <w:sz w:val="32"/>
          <w:szCs w:val="32"/>
          <w:lang w:val="en-US" w:eastAsia="zh-CN"/>
        </w:rPr>
        <w:t>57.3</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，主要</w:t>
      </w:r>
      <w:r>
        <w:rPr>
          <w:rFonts w:hint="eastAsia" w:ascii="仿宋_GB2312" w:hAnsi="Times New Roman" w:eastAsia="仿宋_GB2312" w:cs="仿宋_GB2312"/>
          <w:sz w:val="32"/>
          <w:szCs w:val="32"/>
          <w:lang w:val="en-US" w:eastAsia="zh-CN"/>
        </w:rPr>
        <w:t>是</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年为满足办案需要，新购车辆</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辆。具体情况如下：</w:t>
      </w:r>
    </w:p>
    <w:p>
      <w:pPr>
        <w:adjustRightInd w:val="0"/>
        <w:snapToGrid w:val="0"/>
        <w:spacing w:line="580" w:lineRule="exact"/>
        <w:ind w:firstLine="643" w:firstLineChars="200"/>
        <w:rPr>
          <w:rFonts w:ascii="仿宋_GB2312" w:hAnsi="Times New Roman" w:eastAsia="仿宋_GB2312" w:cs="Times New Roman"/>
          <w:sz w:val="32"/>
          <w:szCs w:val="32"/>
        </w:rPr>
      </w:pPr>
      <w:r>
        <w:rPr>
          <w:rFonts w:hint="eastAsia" w:ascii="楷体_GB2312" w:hAnsi="Times New Roman" w:eastAsia="楷体_GB2312" w:cs="楷体_GB2312"/>
          <w:b/>
          <w:bCs/>
          <w:sz w:val="32"/>
          <w:szCs w:val="32"/>
        </w:rPr>
        <w:t>（一）因公出国（境）费支出</w:t>
      </w:r>
      <w:r>
        <w:rPr>
          <w:rFonts w:ascii="楷体_GB2312" w:hAnsi="Times New Roman" w:eastAsia="楷体_GB2312" w:cs="楷体_GB2312"/>
          <w:b/>
          <w:bCs/>
          <w:sz w:val="32"/>
          <w:szCs w:val="32"/>
        </w:rPr>
        <w:t>0</w:t>
      </w:r>
      <w:r>
        <w:rPr>
          <w:rFonts w:hint="eastAsia" w:ascii="楷体_GB2312" w:hAnsi="Times New Roman" w:eastAsia="楷体_GB2312" w:cs="楷体_GB2312"/>
          <w:b/>
          <w:bCs/>
          <w:sz w:val="32"/>
          <w:szCs w:val="32"/>
        </w:rPr>
        <w:t>万元。</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年度无因公出国（境）。</w:t>
      </w:r>
    </w:p>
    <w:p>
      <w:pPr>
        <w:adjustRightInd w:val="0"/>
        <w:snapToGrid w:val="0"/>
        <w:spacing w:line="580" w:lineRule="exact"/>
        <w:ind w:firstLine="643" w:firstLineChars="200"/>
        <w:rPr>
          <w:rFonts w:ascii="仿宋_GB2312" w:hAnsi="Times New Roman" w:eastAsia="仿宋_GB2312" w:cs="Times New Roman"/>
          <w:b/>
          <w:bCs/>
          <w:sz w:val="32"/>
          <w:szCs w:val="32"/>
        </w:rPr>
      </w:pPr>
      <w:r>
        <w:rPr>
          <w:rFonts w:hint="eastAsia" w:ascii="楷体_GB2312" w:hAnsi="Times New Roman" w:eastAsia="楷体_GB2312" w:cs="楷体_GB2312"/>
          <w:b/>
          <w:bCs/>
          <w:sz w:val="32"/>
          <w:szCs w:val="32"/>
        </w:rPr>
        <w:t>（二）公务用车购置及运行维护费支出</w:t>
      </w:r>
      <w:r>
        <w:rPr>
          <w:rFonts w:ascii="楷体_GB2312" w:hAnsi="Times New Roman" w:eastAsia="楷体_GB2312" w:cs="楷体_GB2312"/>
          <w:b/>
          <w:bCs/>
          <w:sz w:val="32"/>
          <w:szCs w:val="32"/>
        </w:rPr>
        <w:t>35.32</w:t>
      </w:r>
      <w:r>
        <w:rPr>
          <w:rFonts w:hint="eastAsia" w:ascii="楷体_GB2312" w:hAnsi="Times New Roman" w:eastAsia="楷体_GB2312" w:cs="楷体_GB2312"/>
          <w:b/>
          <w:bCs/>
          <w:sz w:val="32"/>
          <w:szCs w:val="32"/>
        </w:rPr>
        <w:t>元。</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年度公务用车购置及运行维护费较预算减少</w:t>
      </w:r>
      <w:r>
        <w:rPr>
          <w:rFonts w:ascii="仿宋_GB2312" w:hAnsi="Times New Roman" w:eastAsia="仿宋_GB2312" w:cs="仿宋_GB2312"/>
          <w:sz w:val="32"/>
          <w:szCs w:val="32"/>
        </w:rPr>
        <w:t>0.18</w:t>
      </w:r>
      <w:r>
        <w:rPr>
          <w:rFonts w:hint="eastAsia" w:ascii="仿宋_GB2312" w:hAnsi="Times New Roman" w:eastAsia="仿宋_GB2312" w:cs="仿宋_GB2312"/>
          <w:sz w:val="32"/>
          <w:szCs w:val="32"/>
        </w:rPr>
        <w:t>万元，降低</w:t>
      </w:r>
      <w:r>
        <w:rPr>
          <w:rFonts w:ascii="仿宋_GB2312" w:hAnsi="Times New Roman" w:eastAsia="仿宋_GB2312" w:cs="仿宋_GB2312"/>
          <w:sz w:val="32"/>
          <w:szCs w:val="32"/>
        </w:rPr>
        <w:t>0.5%,</w:t>
      </w:r>
      <w:r>
        <w:rPr>
          <w:rFonts w:hint="eastAsia" w:ascii="仿宋_GB2312" w:hAnsi="Times New Roman" w:eastAsia="仿宋_GB2312" w:cs="仿宋_GB2312"/>
          <w:sz w:val="32"/>
          <w:szCs w:val="32"/>
        </w:rPr>
        <w:t>主要是</w:t>
      </w:r>
      <w:r>
        <w:rPr>
          <w:rFonts w:hint="eastAsia" w:ascii="仿宋_GB2312" w:hAnsi="Times New Roman" w:eastAsia="仿宋_GB2312" w:cs="仿宋_GB2312"/>
          <w:sz w:val="32"/>
          <w:szCs w:val="32"/>
          <w:lang w:val="en-US" w:eastAsia="zh-CN"/>
        </w:rPr>
        <w:t>落实中央八项规定，从严控制三公经费开支</w:t>
      </w:r>
      <w:r>
        <w:rPr>
          <w:rFonts w:hint="eastAsia" w:ascii="仿宋_GB2312" w:hAnsi="Times New Roman" w:eastAsia="仿宋_GB2312" w:cs="仿宋_GB2312"/>
          <w:sz w:val="32"/>
          <w:szCs w:val="32"/>
        </w:rPr>
        <w:t>；较上年</w:t>
      </w:r>
      <w:r>
        <w:rPr>
          <w:rFonts w:hint="eastAsia" w:ascii="仿宋_GB2312" w:hAnsi="Times New Roman" w:eastAsia="仿宋_GB2312" w:cs="仿宋_GB2312"/>
          <w:sz w:val="32"/>
          <w:szCs w:val="32"/>
          <w:lang w:val="en-US" w:eastAsia="zh-CN"/>
        </w:rPr>
        <w:t>增加12.86</w:t>
      </w:r>
      <w:r>
        <w:rPr>
          <w:rFonts w:hint="eastAsia" w:ascii="仿宋_GB2312" w:hAnsi="Times New Roman" w:eastAsia="仿宋_GB2312" w:cs="仿宋_GB2312"/>
          <w:sz w:val="32"/>
          <w:szCs w:val="32"/>
        </w:rPr>
        <w:t>万元，</w:t>
      </w:r>
      <w:r>
        <w:rPr>
          <w:rFonts w:hint="eastAsia" w:ascii="仿宋_GB2312" w:hAnsi="Times New Roman" w:eastAsia="仿宋_GB2312" w:cs="仿宋_GB2312"/>
          <w:sz w:val="32"/>
          <w:szCs w:val="32"/>
          <w:lang w:val="en-US" w:eastAsia="zh-CN"/>
        </w:rPr>
        <w:t>增加57.3</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主要是</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年为满足办案需要，新购车辆</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w:t>
      </w:r>
      <w:r>
        <w:rPr>
          <w:rFonts w:hint="eastAsia" w:ascii="仿宋_GB2312" w:hAnsi="Times New Roman" w:eastAsia="仿宋_GB2312" w:cs="仿宋_GB2312"/>
          <w:b/>
          <w:bCs/>
          <w:sz w:val="32"/>
          <w:szCs w:val="32"/>
        </w:rPr>
        <w:t>其中：</w:t>
      </w:r>
    </w:p>
    <w:p>
      <w:pPr>
        <w:adjustRightInd w:val="0"/>
        <w:snapToGrid w:val="0"/>
        <w:spacing w:line="580" w:lineRule="exact"/>
        <w:ind w:firstLine="643" w:firstLineChars="200"/>
        <w:rPr>
          <w:rFonts w:ascii="仿宋_GB2312" w:hAnsi="Times New Roman" w:eastAsia="仿宋_GB2312" w:cs="Times New Roman"/>
          <w:color w:val="000000"/>
          <w:sz w:val="32"/>
          <w:szCs w:val="32"/>
        </w:rPr>
      </w:pPr>
      <w:r>
        <w:rPr>
          <w:rFonts w:hint="eastAsia" w:ascii="仿宋_GB2312" w:hAnsi="Times New Roman" w:eastAsia="仿宋_GB2312" w:cs="仿宋_GB2312"/>
          <w:b/>
          <w:bCs/>
          <w:sz w:val="32"/>
          <w:szCs w:val="32"/>
        </w:rPr>
        <w:t>公务用车购置费：</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年度公务用车购置量</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辆，发生“公务用车购置”经费支出</w:t>
      </w:r>
      <w:r>
        <w:rPr>
          <w:rFonts w:ascii="仿宋_GB2312" w:hAnsi="Times New Roman" w:eastAsia="仿宋_GB2312" w:cs="仿宋_GB2312"/>
          <w:sz w:val="32"/>
          <w:szCs w:val="32"/>
        </w:rPr>
        <w:t>13.02</w:t>
      </w:r>
      <w:r>
        <w:rPr>
          <w:rFonts w:hint="eastAsia" w:ascii="仿宋_GB2312" w:hAnsi="Times New Roman" w:eastAsia="仿宋_GB2312" w:cs="仿宋_GB2312"/>
          <w:sz w:val="32"/>
          <w:szCs w:val="32"/>
        </w:rPr>
        <w:t>万元。公务用车购置费支出较预算减少</w:t>
      </w:r>
      <w:r>
        <w:rPr>
          <w:rFonts w:ascii="仿宋_GB2312" w:hAnsi="Times New Roman" w:eastAsia="仿宋_GB2312" w:cs="仿宋_GB2312"/>
          <w:sz w:val="32"/>
          <w:szCs w:val="32"/>
        </w:rPr>
        <w:t>0.8</w:t>
      </w:r>
      <w:r>
        <w:rPr>
          <w:rFonts w:hint="eastAsia" w:ascii="仿宋_GB2312" w:hAnsi="Times New Roman" w:eastAsia="仿宋_GB2312" w:cs="仿宋_GB2312"/>
          <w:sz w:val="32"/>
          <w:szCs w:val="32"/>
        </w:rPr>
        <w:t>万元，降低</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主要是</w:t>
      </w:r>
      <w:r>
        <w:rPr>
          <w:rFonts w:hint="eastAsia" w:ascii="仿宋_GB2312" w:hAnsi="Times New Roman" w:eastAsia="仿宋_GB2312" w:cs="仿宋_GB2312"/>
          <w:sz w:val="32"/>
          <w:szCs w:val="32"/>
          <w:lang w:val="en-US" w:eastAsia="zh-CN"/>
        </w:rPr>
        <w:t>购置费严格控制在预算内</w:t>
      </w:r>
      <w:r>
        <w:rPr>
          <w:rFonts w:hint="eastAsia" w:ascii="仿宋_GB2312" w:hAnsi="Times New Roman" w:eastAsia="仿宋_GB2312" w:cs="仿宋_GB2312"/>
          <w:sz w:val="32"/>
          <w:szCs w:val="32"/>
        </w:rPr>
        <w:t>；较上年增加</w:t>
      </w:r>
      <w:r>
        <w:rPr>
          <w:rFonts w:hint="eastAsia" w:ascii="仿宋_GB2312" w:hAnsi="Times New Roman" w:eastAsia="仿宋_GB2312" w:cs="仿宋_GB2312"/>
          <w:sz w:val="32"/>
          <w:szCs w:val="32"/>
          <w:lang w:val="en-US" w:eastAsia="zh-CN"/>
        </w:rPr>
        <w:t>增加13.02</w:t>
      </w:r>
      <w:r>
        <w:rPr>
          <w:rFonts w:hint="eastAsia" w:ascii="仿宋_GB2312" w:hAnsi="Times New Roman" w:eastAsia="仿宋_GB2312" w:cs="仿宋_GB2312"/>
          <w:sz w:val="32"/>
          <w:szCs w:val="32"/>
        </w:rPr>
        <w:t>万元，主要是</w:t>
      </w:r>
      <w:r>
        <w:rPr>
          <w:rFonts w:hint="eastAsia" w:ascii="仿宋_GB2312" w:hAnsi="Times New Roman" w:eastAsia="仿宋_GB2312" w:cs="仿宋_GB2312"/>
          <w:sz w:val="32"/>
          <w:szCs w:val="32"/>
          <w:lang w:val="en-US" w:eastAsia="zh-CN"/>
        </w:rPr>
        <w:t>2018年未购置车辆，未发生此项支出</w:t>
      </w:r>
      <w:r>
        <w:rPr>
          <w:rFonts w:hint="eastAsia" w:ascii="仿宋_GB2312" w:hAnsi="Times New Roman" w:eastAsia="仿宋_GB2312" w:cs="仿宋_GB2312"/>
          <w:sz w:val="32"/>
          <w:szCs w:val="32"/>
        </w:rPr>
        <w:t>。</w:t>
      </w:r>
    </w:p>
    <w:p>
      <w:pPr>
        <w:adjustRightInd w:val="0"/>
        <w:snapToGrid w:val="0"/>
        <w:spacing w:line="580" w:lineRule="exact"/>
        <w:ind w:firstLine="643"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仿宋_GB2312"/>
          <w:b/>
          <w:bCs/>
          <w:sz w:val="32"/>
          <w:szCs w:val="32"/>
        </w:rPr>
        <w:t>公务用车运行维护费：</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年度单位公务用车保有量</w:t>
      </w:r>
      <w:r>
        <w:rPr>
          <w:rFonts w:hint="eastAsia" w:ascii="仿宋_GB2312" w:hAnsi="Times New Roman" w:eastAsia="仿宋_GB2312" w:cs="仿宋_GB2312"/>
          <w:sz w:val="32"/>
          <w:szCs w:val="32"/>
          <w:lang w:val="en-US" w:eastAsia="zh-CN"/>
        </w:rPr>
        <w:t>10</w:t>
      </w:r>
      <w:r>
        <w:rPr>
          <w:rFonts w:hint="eastAsia" w:ascii="仿宋_GB2312" w:hAnsi="Times New Roman" w:eastAsia="仿宋_GB2312" w:cs="仿宋_GB2312"/>
          <w:sz w:val="32"/>
          <w:szCs w:val="32"/>
        </w:rPr>
        <w:t>辆。公车运行维护费支出较预算减少</w:t>
      </w:r>
      <w:r>
        <w:rPr>
          <w:rFonts w:ascii="仿宋_GB2312" w:hAnsi="Times New Roman" w:eastAsia="仿宋_GB2312" w:cs="仿宋_GB2312"/>
          <w:sz w:val="32"/>
          <w:szCs w:val="32"/>
        </w:rPr>
        <w:t>0.1</w:t>
      </w:r>
      <w:r>
        <w:rPr>
          <w:rFonts w:hint="eastAsia" w:ascii="仿宋_GB2312" w:hAnsi="Times New Roman" w:eastAsia="仿宋_GB2312" w:cs="仿宋_GB2312"/>
          <w:sz w:val="32"/>
          <w:szCs w:val="32"/>
          <w:lang w:val="en-US" w:eastAsia="zh-CN"/>
        </w:rPr>
        <w:t>6</w:t>
      </w:r>
      <w:r>
        <w:rPr>
          <w:rFonts w:hint="eastAsia" w:ascii="仿宋_GB2312" w:hAnsi="Times New Roman" w:eastAsia="仿宋_GB2312" w:cs="仿宋_GB2312"/>
          <w:sz w:val="32"/>
          <w:szCs w:val="32"/>
        </w:rPr>
        <w:t>万元，降低</w:t>
      </w:r>
      <w:r>
        <w:rPr>
          <w:rFonts w:ascii="仿宋_GB2312" w:hAnsi="Times New Roman" w:eastAsia="仿宋_GB2312" w:cs="仿宋_GB2312"/>
          <w:sz w:val="32"/>
          <w:szCs w:val="32"/>
        </w:rPr>
        <w:t>0.</w:t>
      </w:r>
      <w:r>
        <w:rPr>
          <w:rFonts w:hint="eastAsia" w:ascii="仿宋_GB2312" w:hAnsi="Times New Roman" w:eastAsia="仿宋_GB2312" w:cs="仿宋_GB2312"/>
          <w:sz w:val="32"/>
          <w:szCs w:val="32"/>
          <w:lang w:val="en-US" w:eastAsia="zh-CN"/>
        </w:rPr>
        <w:t>7</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主要是</w:t>
      </w:r>
      <w:r>
        <w:rPr>
          <w:rFonts w:hint="eastAsia" w:ascii="仿宋_GB2312" w:hAnsi="Times New Roman" w:eastAsia="仿宋_GB2312" w:cs="仿宋_GB2312"/>
          <w:sz w:val="32"/>
          <w:szCs w:val="32"/>
          <w:lang w:val="en-US" w:eastAsia="zh-CN"/>
        </w:rPr>
        <w:t>落实中央八项规定，从严控制三公经费开支</w:t>
      </w:r>
      <w:r>
        <w:rPr>
          <w:rFonts w:hint="eastAsia" w:ascii="仿宋_GB2312" w:hAnsi="Times New Roman" w:eastAsia="仿宋_GB2312" w:cs="仿宋_GB2312"/>
          <w:sz w:val="32"/>
          <w:szCs w:val="32"/>
          <w:lang w:eastAsia="zh-CN"/>
        </w:rPr>
        <w:t>。</w:t>
      </w:r>
    </w:p>
    <w:p>
      <w:pPr>
        <w:adjustRightInd w:val="0"/>
        <w:snapToGrid w:val="0"/>
        <w:spacing w:line="580" w:lineRule="exact"/>
        <w:ind w:firstLine="643" w:firstLineChars="200"/>
        <w:rPr>
          <w:rFonts w:ascii="仿宋_GB2312" w:hAnsi="Times New Roman" w:eastAsia="仿宋_GB2312" w:cs="Times New Roman"/>
          <w:sz w:val="32"/>
          <w:szCs w:val="32"/>
        </w:rPr>
      </w:pPr>
      <w:r>
        <w:rPr>
          <w:rFonts w:hint="eastAsia" w:ascii="楷体_GB2312" w:hAnsi="Times New Roman" w:eastAsia="楷体_GB2312" w:cs="楷体_GB2312"/>
          <w:b/>
          <w:bCs/>
          <w:sz w:val="32"/>
          <w:szCs w:val="32"/>
        </w:rPr>
        <w:t>（三）公务接待费支出</w:t>
      </w:r>
      <w:r>
        <w:rPr>
          <w:rFonts w:ascii="楷体_GB2312" w:hAnsi="Times New Roman" w:eastAsia="楷体_GB2312" w:cs="楷体_GB2312"/>
          <w:b/>
          <w:bCs/>
          <w:sz w:val="32"/>
          <w:szCs w:val="32"/>
        </w:rPr>
        <w:t>0</w:t>
      </w:r>
      <w:r>
        <w:rPr>
          <w:rFonts w:hint="eastAsia" w:ascii="楷体_GB2312" w:hAnsi="Times New Roman" w:eastAsia="楷体_GB2312" w:cs="楷体_GB2312"/>
          <w:b/>
          <w:bCs/>
          <w:sz w:val="32"/>
          <w:szCs w:val="32"/>
        </w:rPr>
        <w:t>万元。</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年度无公务接待。</w:t>
      </w:r>
    </w:p>
    <w:p>
      <w:pPr>
        <w:adjustRightInd w:val="0"/>
        <w:snapToGrid w:val="0"/>
        <w:spacing w:line="580" w:lineRule="exact"/>
        <w:ind w:firstLine="640" w:firstLineChars="200"/>
        <w:rPr>
          <w:rFonts w:ascii="黑体" w:hAnsi="Times New Roman" w:eastAsia="黑体" w:cs="Times New Roman"/>
          <w:sz w:val="32"/>
          <w:szCs w:val="32"/>
        </w:rPr>
      </w:pPr>
      <w:r>
        <w:rPr>
          <w:rFonts w:hint="eastAsia" w:ascii="黑体" w:hAnsi="Times New Roman" w:eastAsia="黑体" w:cs="黑体"/>
          <w:sz w:val="32"/>
          <w:szCs w:val="32"/>
        </w:rPr>
        <w:t>六、预算绩效情况说明</w:t>
      </w:r>
    </w:p>
    <w:p>
      <w:pPr>
        <w:adjustRightInd w:val="0"/>
        <w:snapToGrid w:val="0"/>
        <w:spacing w:line="580" w:lineRule="exact"/>
        <w:ind w:firstLine="643" w:firstLineChars="200"/>
        <w:rPr>
          <w:rFonts w:ascii="仿宋_GB2312" w:hAnsi="仿宋_GB2312" w:eastAsia="仿宋_GB2312" w:cs="Times New Roman"/>
          <w:b/>
          <w:bCs/>
          <w:sz w:val="32"/>
          <w:szCs w:val="32"/>
        </w:rPr>
      </w:pPr>
      <w:r>
        <w:rPr>
          <w:rFonts w:ascii="仿宋_GB2312" w:hAnsi="仿宋_GB2312" w:eastAsia="仿宋_GB2312" w:cs="仿宋_GB2312"/>
          <w:b/>
          <w:bCs/>
          <w:sz w:val="32"/>
          <w:szCs w:val="32"/>
        </w:rPr>
        <w:t xml:space="preserve">1. </w:t>
      </w:r>
      <w:r>
        <w:rPr>
          <w:rFonts w:hint="eastAsia" w:ascii="仿宋_GB2312" w:hAnsi="仿宋_GB2312" w:eastAsia="仿宋_GB2312" w:cs="仿宋_GB2312"/>
          <w:b/>
          <w:bCs/>
          <w:sz w:val="32"/>
          <w:szCs w:val="32"/>
        </w:rPr>
        <w:t>预算绩效管理工作开展情况。</w:t>
      </w:r>
    </w:p>
    <w:p>
      <w:pPr>
        <w:spacing w:line="560" w:lineRule="exact"/>
        <w:ind w:firstLine="800" w:firstLineChars="250"/>
        <w:outlineLvl w:val="0"/>
        <w:rPr>
          <w:rFonts w:ascii="仿宋" w:hAnsi="仿宋" w:eastAsia="仿宋" w:cs="Times New Roman"/>
          <w:sz w:val="32"/>
          <w:szCs w:val="32"/>
        </w:rPr>
      </w:pPr>
      <w:r>
        <w:rPr>
          <w:rFonts w:hint="eastAsia" w:ascii="仿宋_GB2312" w:hAnsi="仿宋_GB2312" w:eastAsia="仿宋_GB2312" w:cs="仿宋_GB2312"/>
          <w:sz w:val="32"/>
          <w:szCs w:val="32"/>
        </w:rPr>
        <w:t>根据预算绩效管理要求，本部门组织对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年度一般公共预算项目支出全面开展绩效自评，其中，一级项目</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个，共涉及资金</w:t>
      </w:r>
      <w:r>
        <w:rPr>
          <w:rFonts w:ascii="仿宋_GB2312" w:hAnsi="仿宋_GB2312" w:eastAsia="仿宋_GB2312" w:cs="仿宋_GB2312"/>
          <w:sz w:val="32"/>
          <w:szCs w:val="32"/>
        </w:rPr>
        <w:t>16.2</w:t>
      </w:r>
      <w:r>
        <w:rPr>
          <w:rFonts w:hint="eastAsia" w:ascii="仿宋_GB2312" w:hAnsi="仿宋_GB2312" w:eastAsia="仿宋_GB2312" w:cs="仿宋_GB2312"/>
          <w:sz w:val="32"/>
          <w:szCs w:val="32"/>
        </w:rPr>
        <w:t>万元。组织对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年度巡察工作专项经费等</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个一般公共预算项目支出开展绩效自评。从评价情况来看，</w:t>
      </w:r>
      <w:r>
        <w:rPr>
          <w:rFonts w:ascii="仿宋" w:hAnsi="仿宋" w:eastAsia="仿宋" w:cs="仿宋"/>
          <w:sz w:val="32"/>
          <w:szCs w:val="32"/>
        </w:rPr>
        <w:t>2019</w:t>
      </w:r>
      <w:r>
        <w:rPr>
          <w:rFonts w:hint="eastAsia" w:ascii="仿宋" w:hAnsi="仿宋" w:eastAsia="仿宋" w:cs="仿宋"/>
          <w:sz w:val="32"/>
          <w:szCs w:val="32"/>
        </w:rPr>
        <w:t>年区委巡察工作专项经费，项目建设通过政府及相关部门的审批，项目实施依据充分，较好地完成了区委巡察工作。</w:t>
      </w:r>
    </w:p>
    <w:p>
      <w:pPr>
        <w:adjustRightInd w:val="0"/>
        <w:snapToGrid w:val="0"/>
        <w:spacing w:line="580" w:lineRule="exact"/>
        <w:ind w:firstLine="643" w:firstLineChars="200"/>
        <w:rPr>
          <w:rFonts w:ascii="仿宋_GB2312" w:hAnsi="仿宋_GB2312" w:eastAsia="仿宋_GB2312" w:cs="Times New Roman"/>
          <w:b/>
          <w:bCs/>
          <w:sz w:val="32"/>
          <w:szCs w:val="32"/>
        </w:rPr>
      </w:pPr>
      <w:r>
        <w:rPr>
          <w:rFonts w:ascii="仿宋_GB2312" w:hAnsi="仿宋_GB2312" w:eastAsia="仿宋_GB2312" w:cs="仿宋_GB2312"/>
          <w:b/>
          <w:bCs/>
          <w:sz w:val="32"/>
          <w:szCs w:val="32"/>
        </w:rPr>
        <w:t xml:space="preserve">2. </w:t>
      </w:r>
      <w:r>
        <w:rPr>
          <w:rFonts w:hint="eastAsia" w:ascii="仿宋_GB2312" w:hAnsi="仿宋_GB2312" w:eastAsia="仿宋_GB2312" w:cs="仿宋_GB2312"/>
          <w:b/>
          <w:bCs/>
          <w:sz w:val="32"/>
          <w:szCs w:val="32"/>
        </w:rPr>
        <w:t>部门决算中项目绩效自评结果。</w:t>
      </w:r>
    </w:p>
    <w:p>
      <w:pPr>
        <w:adjustRightInd w:val="0"/>
        <w:snapToGrid w:val="0"/>
        <w:spacing w:line="58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本部门在今年部门决算公开中反映巡察工作专项经费项目绩效自评结果。</w:t>
      </w:r>
    </w:p>
    <w:p>
      <w:pPr>
        <w:spacing w:line="520" w:lineRule="exact"/>
        <w:ind w:firstLine="645"/>
        <w:rPr>
          <w:rFonts w:ascii="仿宋" w:hAnsi="仿宋" w:eastAsia="仿宋" w:cs="Times New Roman"/>
          <w:sz w:val="32"/>
          <w:szCs w:val="32"/>
        </w:rPr>
      </w:pPr>
      <w:r>
        <w:rPr>
          <w:rFonts w:hint="eastAsia" w:ascii="仿宋_GB2312" w:hAnsi="仿宋_GB2312" w:eastAsia="仿宋_GB2312" w:cs="仿宋_GB2312"/>
          <w:sz w:val="32"/>
          <w:szCs w:val="32"/>
        </w:rPr>
        <w:t>巡察工作专项经费项目自评综述：根据年初设定的绩效目标，项目绩效自评得分为</w:t>
      </w: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rPr>
        <w:t>分。全年预算数为</w:t>
      </w:r>
      <w:r>
        <w:rPr>
          <w:rFonts w:ascii="仿宋_GB2312" w:hAnsi="仿宋_GB2312" w:eastAsia="仿宋_GB2312" w:cs="仿宋_GB2312"/>
          <w:sz w:val="32"/>
          <w:szCs w:val="32"/>
        </w:rPr>
        <w:t>26</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16.27</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65.</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。项目绩效目标完成情况：</w:t>
      </w:r>
      <w:r>
        <w:rPr>
          <w:rFonts w:ascii="仿宋" w:hAnsi="仿宋" w:eastAsia="仿宋" w:cs="仿宋"/>
          <w:sz w:val="32"/>
          <w:szCs w:val="32"/>
        </w:rPr>
        <w:t>2019</w:t>
      </w:r>
      <w:r>
        <w:rPr>
          <w:rFonts w:hint="eastAsia" w:ascii="仿宋" w:hAnsi="仿宋" w:eastAsia="仿宋" w:cs="仿宋"/>
          <w:sz w:val="32"/>
          <w:szCs w:val="32"/>
        </w:rPr>
        <w:t>年，区委巡察工作专项经费预算资金拨付到位，并按照相关规定全部用于巡察项目支出，共开展两轮巡察工作，对</w:t>
      </w:r>
      <w:r>
        <w:rPr>
          <w:rFonts w:ascii="仿宋" w:hAnsi="仿宋" w:eastAsia="仿宋" w:cs="仿宋"/>
          <w:sz w:val="32"/>
          <w:szCs w:val="32"/>
        </w:rPr>
        <w:t>2</w:t>
      </w:r>
      <w:r>
        <w:rPr>
          <w:rFonts w:hint="eastAsia" w:ascii="仿宋" w:hAnsi="仿宋" w:eastAsia="仿宋" w:cs="仿宋"/>
          <w:sz w:val="32"/>
          <w:szCs w:val="32"/>
        </w:rPr>
        <w:t>个区直单位、</w:t>
      </w:r>
      <w:r>
        <w:rPr>
          <w:rFonts w:ascii="仿宋" w:hAnsi="仿宋" w:eastAsia="仿宋" w:cs="仿宋"/>
          <w:sz w:val="32"/>
          <w:szCs w:val="32"/>
        </w:rPr>
        <w:t>12</w:t>
      </w:r>
      <w:r>
        <w:rPr>
          <w:rFonts w:hint="eastAsia" w:ascii="仿宋" w:hAnsi="仿宋" w:eastAsia="仿宋" w:cs="仿宋"/>
          <w:sz w:val="32"/>
          <w:szCs w:val="32"/>
        </w:rPr>
        <w:t>个乡镇、</w:t>
      </w:r>
      <w:r>
        <w:rPr>
          <w:rFonts w:ascii="仿宋" w:hAnsi="仿宋" w:eastAsia="仿宋" w:cs="仿宋"/>
          <w:sz w:val="32"/>
          <w:szCs w:val="32"/>
        </w:rPr>
        <w:t>1</w:t>
      </w:r>
      <w:r>
        <w:rPr>
          <w:rFonts w:hint="eastAsia" w:ascii="仿宋" w:hAnsi="仿宋" w:eastAsia="仿宋" w:cs="仿宋"/>
          <w:sz w:val="32"/>
          <w:szCs w:val="32"/>
        </w:rPr>
        <w:t>个区管企业进行了驻点巡察，并延伸巡察</w:t>
      </w:r>
      <w:r>
        <w:rPr>
          <w:rFonts w:ascii="仿宋" w:hAnsi="仿宋" w:eastAsia="仿宋" w:cs="仿宋"/>
          <w:sz w:val="32"/>
          <w:szCs w:val="32"/>
        </w:rPr>
        <w:t>77</w:t>
      </w:r>
      <w:r>
        <w:rPr>
          <w:rFonts w:hint="eastAsia" w:ascii="仿宋" w:hAnsi="仿宋" w:eastAsia="仿宋" w:cs="仿宋"/>
          <w:sz w:val="32"/>
          <w:szCs w:val="32"/>
        </w:rPr>
        <w:t>个村，并完成了第四轮巡察问题的反馈和整改工作，通过巡察发现面上问题</w:t>
      </w:r>
      <w:r>
        <w:rPr>
          <w:rFonts w:ascii="仿宋" w:hAnsi="仿宋" w:eastAsia="仿宋" w:cs="仿宋"/>
          <w:sz w:val="32"/>
          <w:szCs w:val="32"/>
        </w:rPr>
        <w:t>185</w:t>
      </w:r>
      <w:r>
        <w:rPr>
          <w:rFonts w:hint="eastAsia" w:ascii="仿宋" w:hAnsi="仿宋" w:eastAsia="仿宋" w:cs="仿宋"/>
          <w:sz w:val="32"/>
          <w:szCs w:val="32"/>
        </w:rPr>
        <w:t>个，并反馈到相关单位进行整改，较好地完成了</w:t>
      </w:r>
      <w:r>
        <w:rPr>
          <w:rFonts w:ascii="仿宋" w:hAnsi="仿宋" w:eastAsia="仿宋" w:cs="仿宋"/>
          <w:sz w:val="32"/>
          <w:szCs w:val="32"/>
        </w:rPr>
        <w:t>2019</w:t>
      </w:r>
      <w:r>
        <w:rPr>
          <w:rFonts w:hint="eastAsia" w:ascii="仿宋" w:hAnsi="仿宋" w:eastAsia="仿宋" w:cs="仿宋"/>
          <w:sz w:val="32"/>
          <w:szCs w:val="32"/>
        </w:rPr>
        <w:t>年初设定的工作任务</w:t>
      </w:r>
      <w:r>
        <w:rPr>
          <w:rFonts w:hint="eastAsia" w:ascii="仿宋_GB2312" w:hAnsi="仿宋_GB2312" w:eastAsia="仿宋_GB2312" w:cs="仿宋_GB2312"/>
          <w:sz w:val="32"/>
          <w:szCs w:val="32"/>
        </w:rPr>
        <w:t>。发现的主要问题及原因：一是</w:t>
      </w:r>
      <w:r>
        <w:rPr>
          <w:rFonts w:hint="eastAsia" w:ascii="仿宋" w:hAnsi="仿宋" w:eastAsia="仿宋" w:cs="仿宋"/>
          <w:sz w:val="32"/>
          <w:szCs w:val="32"/>
        </w:rPr>
        <w:t>因预算绩效管理水平有限，项目实施工作方案中部分绩效内容的设定上量化不够具体，</w:t>
      </w:r>
      <w:r>
        <w:rPr>
          <w:rFonts w:ascii="仿宋" w:hAnsi="仿宋" w:eastAsia="仿宋" w:cs="仿宋"/>
          <w:sz w:val="32"/>
          <w:szCs w:val="32"/>
        </w:rPr>
        <w:t>2019</w:t>
      </w:r>
      <w:r>
        <w:rPr>
          <w:rFonts w:hint="eastAsia" w:ascii="仿宋" w:hAnsi="仿宋" w:eastAsia="仿宋" w:cs="仿宋"/>
          <w:sz w:val="32"/>
          <w:szCs w:val="32"/>
        </w:rPr>
        <w:t>年未设定满意度指标；二是时间及获取资料有限，考核标准和考核条件过于简单和笼统，资料准备不够充分；三是预算绩效管理工作开展时间较短，缺乏系统的培训，对工作重点把握不到位，绩效自评带有一定的主观性。</w:t>
      </w:r>
      <w:r>
        <w:rPr>
          <w:rFonts w:hint="eastAsia" w:ascii="仿宋_GB2312" w:hAnsi="仿宋_GB2312" w:eastAsia="仿宋_GB2312" w:cs="仿宋_GB2312"/>
          <w:sz w:val="32"/>
          <w:szCs w:val="32"/>
        </w:rPr>
        <w:t>下一步改进措施：</w:t>
      </w:r>
      <w:r>
        <w:rPr>
          <w:rFonts w:hint="eastAsia" w:ascii="仿宋" w:hAnsi="仿宋" w:eastAsia="仿宋" w:cs="仿宋"/>
          <w:sz w:val="32"/>
          <w:szCs w:val="32"/>
        </w:rPr>
        <w:t>单位需要进一步加大对单位参与绩效评价人员的培训力度，充实业务知识，完善绩效评价结果运用机制，将评价结果作为申报以后年度预算的重要依据，发挥绩效评价工作的重要作用。</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黑体"/>
          <w:sz w:val="32"/>
          <w:szCs w:val="32"/>
        </w:rPr>
        <w:t>七、其他重要事项的说明</w:t>
      </w:r>
    </w:p>
    <w:p>
      <w:pPr>
        <w:keepNext/>
        <w:keepLines/>
        <w:snapToGrid w:val="0"/>
        <w:spacing w:line="580" w:lineRule="exact"/>
        <w:ind w:firstLine="643" w:firstLineChars="200"/>
        <w:outlineLvl w:val="2"/>
        <w:rPr>
          <w:rFonts w:hint="eastAsia" w:ascii="仿宋_GB2312" w:hAnsi="Times New Roman" w:eastAsia="仿宋_GB2312" w:cs="仿宋_GB2312"/>
          <w:sz w:val="32"/>
          <w:szCs w:val="32"/>
          <w:highlight w:val="yellow"/>
        </w:rPr>
      </w:pPr>
      <w:r>
        <w:rPr>
          <w:rFonts w:hint="eastAsia" w:ascii="楷体_GB2312" w:hAnsi="Times New Roman" w:eastAsia="楷体_GB2312" w:cs="楷体_GB2312"/>
          <w:b/>
          <w:bCs/>
          <w:sz w:val="32"/>
          <w:szCs w:val="32"/>
        </w:rPr>
        <w:t>（一）机关运行经费情况</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年度机关运行经费支出</w:t>
      </w:r>
      <w:r>
        <w:rPr>
          <w:rFonts w:hint="eastAsia" w:ascii="仿宋_GB2312" w:hAnsi="Times New Roman" w:eastAsia="仿宋_GB2312" w:cs="仿宋_GB2312"/>
          <w:sz w:val="32"/>
          <w:szCs w:val="32"/>
          <w:lang w:val="en-US" w:eastAsia="zh-CN"/>
        </w:rPr>
        <w:t>260.12</w:t>
      </w:r>
      <w:r>
        <w:rPr>
          <w:rFonts w:hint="eastAsia" w:ascii="仿宋_GB2312" w:hAnsi="Times New Roman" w:eastAsia="仿宋_GB2312" w:cs="仿宋_GB2312"/>
          <w:sz w:val="32"/>
          <w:szCs w:val="32"/>
        </w:rPr>
        <w:t>万元，比</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年度增加</w:t>
      </w:r>
      <w:r>
        <w:rPr>
          <w:rFonts w:hint="eastAsia" w:ascii="仿宋_GB2312" w:hAnsi="Times New Roman" w:eastAsia="仿宋_GB2312" w:cs="仿宋_GB2312"/>
          <w:sz w:val="32"/>
          <w:szCs w:val="32"/>
          <w:lang w:val="en-US" w:eastAsia="zh-CN"/>
        </w:rPr>
        <w:t>71.42</w:t>
      </w:r>
      <w:r>
        <w:rPr>
          <w:rFonts w:hint="eastAsia" w:ascii="仿宋_GB2312" w:hAnsi="Times New Roman" w:eastAsia="仿宋_GB2312" w:cs="仿宋_GB2312"/>
          <w:sz w:val="32"/>
          <w:szCs w:val="32"/>
        </w:rPr>
        <w:t>万元，增长</w:t>
      </w:r>
      <w:r>
        <w:rPr>
          <w:rFonts w:hint="eastAsia" w:ascii="仿宋_GB2312" w:hAnsi="Times New Roman" w:eastAsia="仿宋_GB2312" w:cs="仿宋_GB2312"/>
          <w:sz w:val="32"/>
          <w:szCs w:val="32"/>
          <w:lang w:val="en-US" w:eastAsia="zh-CN"/>
        </w:rPr>
        <w:t>37.8</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。主要原因是</w:t>
      </w:r>
      <w:r>
        <w:rPr>
          <w:rFonts w:hint="eastAsia" w:ascii="仿宋_GB2312" w:hAnsi="Times New Roman" w:eastAsia="仿宋_GB2312" w:cs="仿宋_GB2312"/>
          <w:sz w:val="32"/>
          <w:szCs w:val="32"/>
          <w:lang w:val="en-US" w:eastAsia="zh-CN"/>
        </w:rPr>
        <w:t>2019年人员增加，办公经费增加；追加巡察工作专项经费；新购置车辆1辆</w:t>
      </w:r>
      <w:r>
        <w:rPr>
          <w:rFonts w:hint="eastAsia" w:ascii="仿宋_GB2312" w:hAnsi="Times New Roman" w:eastAsia="仿宋_GB2312" w:cs="仿宋_GB2312"/>
          <w:sz w:val="32"/>
          <w:szCs w:val="32"/>
        </w:rPr>
        <w:t>。</w:t>
      </w:r>
    </w:p>
    <w:p>
      <w:pPr>
        <w:keepNext/>
        <w:keepLines/>
        <w:snapToGrid w:val="0"/>
        <w:spacing w:line="580" w:lineRule="exact"/>
        <w:ind w:firstLine="643" w:firstLineChars="200"/>
        <w:outlineLvl w:val="2"/>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（二）政府采购情况</w:t>
      </w:r>
    </w:p>
    <w:p>
      <w:pPr>
        <w:snapToGrid w:val="0"/>
        <w:spacing w:line="580"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年度政府采购支出总额</w:t>
      </w:r>
      <w:r>
        <w:rPr>
          <w:rFonts w:ascii="仿宋_GB2312" w:hAnsi="Times New Roman" w:eastAsia="仿宋_GB2312" w:cs="仿宋_GB2312"/>
          <w:sz w:val="32"/>
          <w:szCs w:val="32"/>
        </w:rPr>
        <w:t>0</w:t>
      </w:r>
      <w:r>
        <w:rPr>
          <w:rFonts w:hint="eastAsia" w:ascii="仿宋_GB2312" w:hAnsi="Times New Roman" w:eastAsia="仿宋_GB2312" w:cs="仿宋_GB2312"/>
          <w:sz w:val="32"/>
          <w:szCs w:val="32"/>
        </w:rPr>
        <w:t>万元</w:t>
      </w:r>
      <w:r>
        <w:rPr>
          <w:rFonts w:hint="eastAsia"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（三）国有资产占用情况</w:t>
      </w:r>
    </w:p>
    <w:p>
      <w:pPr>
        <w:adjustRightInd w:val="0"/>
        <w:snapToGrid w:val="0"/>
        <w:spacing w:line="58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截至</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rPr>
        <w:t>12</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rPr>
        <w:t>31</w:t>
      </w:r>
      <w:r>
        <w:rPr>
          <w:rFonts w:hint="eastAsia" w:ascii="仿宋_GB2312" w:hAnsi="Times New Roman" w:eastAsia="仿宋_GB2312" w:cs="仿宋_GB2312"/>
          <w:sz w:val="32"/>
          <w:szCs w:val="32"/>
        </w:rPr>
        <w:t>日，本部门共有车辆</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辆，比上年增加</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辆，主要是</w:t>
      </w:r>
      <w:r>
        <w:rPr>
          <w:rFonts w:hint="eastAsia" w:ascii="仿宋_GB2312" w:hAnsi="Times New Roman" w:eastAsia="仿宋_GB2312" w:cs="仿宋_GB2312"/>
          <w:sz w:val="32"/>
          <w:szCs w:val="32"/>
          <w:lang w:val="en-US" w:eastAsia="zh-CN"/>
        </w:rPr>
        <w:t>为满足办案需要</w:t>
      </w:r>
      <w:r>
        <w:rPr>
          <w:rFonts w:hint="eastAsia" w:ascii="仿宋_GB2312" w:hAnsi="Times New Roman" w:eastAsia="仿宋_GB2312" w:cs="仿宋_GB2312"/>
          <w:sz w:val="32"/>
          <w:szCs w:val="32"/>
        </w:rPr>
        <w:t>。其中，执法执勤用车</w:t>
      </w:r>
      <w:r>
        <w:rPr>
          <w:rFonts w:ascii="仿宋_GB2312" w:hAnsi="Times New Roman" w:eastAsia="仿宋_GB2312" w:cs="仿宋_GB2312"/>
          <w:sz w:val="32"/>
          <w:szCs w:val="32"/>
        </w:rPr>
        <w:t>10</w:t>
      </w:r>
      <w:r>
        <w:rPr>
          <w:rFonts w:hint="eastAsia" w:ascii="仿宋_GB2312" w:hAnsi="Times New Roman" w:eastAsia="仿宋_GB2312" w:cs="仿宋_GB2312"/>
          <w:sz w:val="32"/>
          <w:szCs w:val="32"/>
        </w:rPr>
        <w:t>辆。</w:t>
      </w:r>
      <w:r>
        <w:rPr>
          <w:rFonts w:ascii="仿宋_GB2312" w:hAnsi="Times New Roman" w:eastAsia="仿宋_GB2312" w:cs="仿宋_GB2312"/>
          <w:sz w:val="32"/>
          <w:szCs w:val="32"/>
        </w:rPr>
        <w:t xml:space="preserve"> </w:t>
      </w:r>
    </w:p>
    <w:p>
      <w:pPr>
        <w:keepNext/>
        <w:keepLines/>
        <w:snapToGrid w:val="0"/>
        <w:spacing w:line="580" w:lineRule="exact"/>
        <w:ind w:firstLine="643" w:firstLineChars="200"/>
        <w:outlineLvl w:val="2"/>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（四）其他需要说明的情况</w:t>
      </w:r>
    </w:p>
    <w:p>
      <w:pPr>
        <w:adjustRightInd w:val="0"/>
        <w:snapToGrid w:val="0"/>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 xml:space="preserve">1. </w:t>
      </w:r>
      <w:r>
        <w:rPr>
          <w:rFonts w:hint="eastAsia" w:ascii="仿宋_GB2312" w:hAnsi="Times New Roman" w:eastAsia="仿宋_GB2312" w:cs="仿宋_GB2312"/>
          <w:sz w:val="32"/>
          <w:szCs w:val="32"/>
        </w:rPr>
        <w:t>本部门</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年度无收支及结转结余情况，故</w:t>
      </w:r>
      <w:r>
        <w:rPr>
          <w:rFonts w:hint="eastAsia" w:ascii="仿宋_GB2312" w:hAnsi="Times New Roman" w:eastAsia="仿宋_GB2312" w:cs="仿宋_GB2312"/>
          <w:sz w:val="32"/>
          <w:szCs w:val="32"/>
          <w:lang w:val="en-US" w:eastAsia="zh-CN"/>
        </w:rPr>
        <w:t>政府性基金预算财政拨款收入支出决算表、</w:t>
      </w:r>
      <w:r>
        <w:rPr>
          <w:rFonts w:ascii="仿宋" w:hAnsi="仿宋" w:eastAsia="仿宋"/>
          <w:sz w:val="32"/>
          <w:szCs w:val="32"/>
        </w:rPr>
        <w:t>国有资本经营预算</w:t>
      </w:r>
      <w:r>
        <w:rPr>
          <w:rFonts w:hint="eastAsia" w:ascii="仿宋" w:hAnsi="仿宋" w:eastAsia="仿宋"/>
          <w:sz w:val="32"/>
          <w:szCs w:val="32"/>
        </w:rPr>
        <w:t>财政拨款</w:t>
      </w:r>
      <w:r>
        <w:rPr>
          <w:rFonts w:ascii="仿宋" w:hAnsi="仿宋" w:eastAsia="仿宋"/>
          <w:sz w:val="32"/>
          <w:szCs w:val="32"/>
        </w:rPr>
        <w:t>支出决算</w:t>
      </w:r>
      <w:r>
        <w:rPr>
          <w:rFonts w:hint="eastAsia" w:ascii="仿宋_GB2312" w:hAnsi="Times New Roman" w:eastAsia="仿宋_GB2312" w:cs="仿宋_GB2312"/>
          <w:sz w:val="32"/>
          <w:szCs w:val="32"/>
        </w:rPr>
        <w:t>表以空表列示。</w:t>
      </w:r>
    </w:p>
    <w:p>
      <w:pPr>
        <w:adjustRightInd w:val="0"/>
        <w:snapToGrid w:val="0"/>
        <w:spacing w:line="58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 xml:space="preserve">2. </w:t>
      </w:r>
      <w:r>
        <w:rPr>
          <w:rFonts w:hint="eastAsia" w:ascii="仿宋_GB2312" w:hAnsi="Times New Roman" w:eastAsia="仿宋_GB2312" w:cs="仿宋_GB2312"/>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Times New Roman"/>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Times New Roman"/>
          <w:sz w:val="56"/>
          <w:szCs w:val="56"/>
        </w:rPr>
      </w:pPr>
    </w:p>
    <w:p>
      <w:pPr>
        <w:jc w:val="center"/>
        <w:rPr>
          <w:rFonts w:ascii="黑体" w:hAnsi="黑体" w:eastAsia="黑体" w:cs="Times New Roman"/>
          <w:sz w:val="56"/>
          <w:szCs w:val="56"/>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Times New Roman"/>
          <w:sz w:val="56"/>
          <w:szCs w:val="56"/>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ascii="黑体" w:hAnsi="黑体" w:eastAsia="黑体" w:cs="Times New Roman"/>
          <w:sz w:val="56"/>
          <w:szCs w:val="56"/>
        </w:rPr>
      </w:pPr>
    </w:p>
    <w:p>
      <w:pPr>
        <w:jc w:val="center"/>
        <w:rPr>
          <w:rFonts w:cs="Times New Roman"/>
          <w:sz w:val="72"/>
          <w:szCs w:val="72"/>
        </w:rPr>
      </w:pPr>
      <w:r>
        <w:pict>
          <v:shape id="_x0000_s1043" o:spid="_x0000_s1043" o:spt="202" type="#_x0000_t202" style="position:absolute;left:0pt;margin-left:-80.45pt;margin-top:34.8pt;height:263.1pt;width:613.65pt;z-index:251664384;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rPr>
                      <w:rFonts w:cs="Times New Roman"/>
                    </w:rPr>
                  </w:pPr>
                  <w:r>
                    <w:rPr>
                      <w:rFonts w:hint="eastAsia" w:ascii="黑体" w:hAnsi="黑体" w:eastAsia="黑体" w:cs="黑体"/>
                      <w:color w:val="000000"/>
                      <w:sz w:val="90"/>
                      <w:szCs w:val="90"/>
                    </w:rPr>
                    <w:t>第三部分</w:t>
                  </w:r>
                  <w:r>
                    <w:rPr>
                      <w:rFonts w:ascii="黑体" w:hAnsi="黑体" w:eastAsia="黑体" w:cs="黑体"/>
                      <w:color w:val="000000"/>
                      <w:sz w:val="90"/>
                      <w:szCs w:val="90"/>
                    </w:rPr>
                    <w:t xml:space="preserve"> </w:t>
                  </w:r>
                  <w:r>
                    <w:rPr>
                      <w:rFonts w:hint="eastAsia" w:ascii="黑体" w:hAnsi="黑体" w:eastAsia="黑体" w:cs="黑体"/>
                      <w:color w:val="000000"/>
                      <w:sz w:val="90"/>
                      <w:szCs w:val="90"/>
                    </w:rPr>
                    <w:t>相关名词解释</w:t>
                  </w:r>
                </w:p>
              </w:txbxContent>
            </v:textbox>
          </v:shape>
        </w:pic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tabs>
          <w:tab w:val="left" w:pos="886"/>
        </w:tabs>
        <w:jc w:val="left"/>
        <w:rPr>
          <w:rFonts w:cs="Times New Roman"/>
        </w:rPr>
        <w:sectPr>
          <w:headerReference r:id="rId10" w:type="first"/>
          <w:pgSz w:w="11906" w:h="16838"/>
          <w:pgMar w:top="2041" w:right="1531" w:bottom="2041" w:left="1531" w:header="851" w:footer="992" w:gutter="0"/>
          <w:pgNumType w:fmt="numberInDash"/>
          <w:cols w:space="0" w:num="1"/>
          <w:titlePg/>
          <w:docGrid w:type="lines" w:linePitch="312" w:charSpace="0"/>
        </w:sectPr>
      </w:pPr>
    </w:p>
    <w:p>
      <w:pPr>
        <w:spacing w:after="160" w:line="480" w:lineRule="auto"/>
        <w:ind w:firstLine="640" w:firstLineChars="200"/>
        <w:rPr>
          <w:rFonts w:ascii="仿宋_GB2312" w:hAnsi="宋体" w:eastAsia="仿宋_GB2312" w:cs="Times New Roman"/>
          <w:color w:val="000000"/>
          <w:kern w:val="0"/>
          <w:sz w:val="32"/>
          <w:szCs w:val="32"/>
        </w:rPr>
      </w:pPr>
      <w:r>
        <w:rPr>
          <w:rFonts w:ascii="仿宋_GB2312" w:hAnsi="宋体" w:eastAsia="仿宋_GB2312" w:cs="Times New Roman"/>
          <w:sz w:val="32"/>
          <w:szCs w:val="32"/>
          <w:highlight w:val="yellow"/>
        </w:rPr>
        <w:br w:type="page"/>
      </w:r>
      <w:r>
        <w:rPr>
          <w:rFonts w:hint="eastAsia" w:ascii="仿宋_GB2312" w:hAnsi="宋体" w:eastAsia="仿宋_GB2312" w:cs="仿宋_GB2312"/>
          <w:b/>
          <w:bCs/>
          <w:color w:val="000000"/>
          <w:kern w:val="0"/>
          <w:sz w:val="32"/>
          <w:szCs w:val="32"/>
        </w:rPr>
        <w:t>（一）财政拨款收入：</w:t>
      </w:r>
      <w:r>
        <w:rPr>
          <w:rFonts w:hint="eastAsia" w:ascii="仿宋_GB2312" w:hAnsi="宋体" w:eastAsia="仿宋_GB2312" w:cs="仿宋_GB2312"/>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（二）事业收入：</w:t>
      </w:r>
      <w:r>
        <w:rPr>
          <w:rFonts w:hint="eastAsia" w:ascii="仿宋_GB2312" w:hAnsi="宋体" w:eastAsia="仿宋_GB2312" w:cs="仿宋_GB2312"/>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（三）其他收入：</w:t>
      </w:r>
      <w:r>
        <w:rPr>
          <w:rFonts w:hint="eastAsia" w:ascii="仿宋_GB2312" w:hAnsi="宋体" w:eastAsia="仿宋_GB2312" w:cs="仿宋_GB2312"/>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（四）用事业基金弥补收支差额：</w:t>
      </w:r>
      <w:r>
        <w:rPr>
          <w:rFonts w:hint="eastAsia" w:ascii="仿宋_GB2312" w:hAnsi="宋体" w:eastAsia="仿宋_GB2312" w:cs="仿宋_GB2312"/>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（五）年初结转和结余：</w:t>
      </w:r>
      <w:r>
        <w:rPr>
          <w:rFonts w:hint="eastAsia" w:ascii="仿宋_GB2312" w:hAnsi="宋体" w:eastAsia="仿宋_GB2312" w:cs="仿宋_GB2312"/>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（六）结余分配：</w:t>
      </w:r>
      <w:r>
        <w:rPr>
          <w:rFonts w:hint="eastAsia" w:ascii="仿宋_GB2312" w:hAnsi="宋体" w:eastAsia="仿宋_GB2312" w:cs="仿宋_GB2312"/>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（七）年末结转和结余：</w:t>
      </w:r>
      <w:r>
        <w:rPr>
          <w:rFonts w:hint="eastAsia" w:ascii="仿宋_GB2312" w:hAnsi="宋体" w:eastAsia="仿宋_GB2312" w:cs="仿宋_GB2312"/>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（八）基本支出：</w:t>
      </w:r>
      <w:r>
        <w:rPr>
          <w:rFonts w:hint="eastAsia" w:ascii="仿宋_GB2312" w:hAnsi="宋体" w:eastAsia="仿宋_GB2312" w:cs="仿宋_GB2312"/>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（九）项目支出：</w:t>
      </w:r>
      <w:r>
        <w:rPr>
          <w:rFonts w:hint="eastAsia" w:ascii="仿宋_GB2312" w:hAnsi="宋体" w:eastAsia="仿宋_GB2312" w:cs="仿宋_GB2312"/>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（十）基本建设支出：</w:t>
      </w:r>
      <w:r>
        <w:rPr>
          <w:rFonts w:hint="eastAsia" w:ascii="仿宋_GB2312" w:hAnsi="宋体" w:eastAsia="仿宋_GB2312" w:cs="仿宋_GB2312"/>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（十一）其他资本性支出：</w:t>
      </w:r>
      <w:r>
        <w:rPr>
          <w:rFonts w:hint="eastAsia" w:ascii="仿宋_GB2312" w:hAnsi="宋体" w:eastAsia="仿宋_GB2312" w:cs="仿宋_GB2312"/>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（十二）“三公”经费：</w:t>
      </w:r>
      <w:r>
        <w:rPr>
          <w:rFonts w:hint="eastAsia" w:ascii="仿宋_GB2312" w:hAnsi="宋体" w:eastAsia="仿宋_GB2312" w:cs="仿宋_GB2312"/>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（十三）其他交通费用：</w:t>
      </w:r>
      <w:r>
        <w:rPr>
          <w:rFonts w:hint="eastAsia" w:ascii="仿宋_GB2312" w:hAnsi="宋体" w:eastAsia="仿宋_GB2312" w:cs="仿宋_GB2312"/>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（十四）公务用车购置：</w:t>
      </w:r>
      <w:r>
        <w:rPr>
          <w:rFonts w:hint="eastAsia" w:ascii="仿宋_GB2312" w:hAnsi="宋体" w:eastAsia="仿宋_GB2312" w:cs="仿宋_GB2312"/>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（十五）其他交通工具购置：</w:t>
      </w:r>
      <w:r>
        <w:rPr>
          <w:rFonts w:hint="eastAsia" w:ascii="仿宋_GB2312" w:hAnsi="宋体" w:eastAsia="仿宋_GB2312" w:cs="仿宋_GB2312"/>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仿宋_GB2312"/>
          <w:b/>
          <w:bCs/>
          <w:color w:val="000000"/>
          <w:kern w:val="0"/>
          <w:sz w:val="32"/>
          <w:szCs w:val="32"/>
        </w:rPr>
        <w:t>（十六）机关运行经费：</w:t>
      </w:r>
      <w:r>
        <w:rPr>
          <w:rFonts w:hint="eastAsia" w:ascii="仿宋_GB2312" w:hAnsi="宋体" w:eastAsia="仿宋_GB2312" w:cs="仿宋_GB2312"/>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hAnsi="Cambria" w:eastAsia="仿宋_GB2312" w:cs="Times New Roman"/>
          <w:kern w:val="0"/>
          <w:sz w:val="32"/>
          <w:szCs w:val="32"/>
        </w:rPr>
      </w:pPr>
      <w:r>
        <w:rPr>
          <w:rFonts w:hint="eastAsia" w:ascii="仿宋_GB2312" w:hAnsi="宋体" w:eastAsia="仿宋_GB2312" w:cs="仿宋_GB2312"/>
          <w:b/>
          <w:bCs/>
          <w:color w:val="000000"/>
          <w:kern w:val="0"/>
          <w:sz w:val="32"/>
          <w:szCs w:val="32"/>
        </w:rPr>
        <w:t>（十七）经费形式</w:t>
      </w:r>
      <w:r>
        <w:rPr>
          <w:rFonts w:ascii="仿宋_GB2312" w:hAnsi="宋体" w:eastAsia="仿宋_GB2312" w:cs="仿宋_GB2312"/>
          <w:b/>
          <w:bCs/>
          <w:color w:val="000000"/>
          <w:kern w:val="0"/>
          <w:sz w:val="32"/>
          <w:szCs w:val="32"/>
        </w:rPr>
        <w:t>:</w:t>
      </w:r>
      <w:r>
        <w:rPr>
          <w:rFonts w:hint="eastAsia" w:ascii="仿宋_GB2312" w:hAnsi="宋体" w:eastAsia="仿宋_GB2312" w:cs="仿宋_GB2312"/>
          <w:color w:val="000000"/>
          <w:kern w:val="0"/>
          <w:sz w:val="32"/>
          <w:szCs w:val="32"/>
        </w:rPr>
        <w:t>按照经费来源，</w:t>
      </w:r>
      <w:r>
        <w:rPr>
          <w:rFonts w:hint="eastAsia" w:ascii="仿宋_GB2312" w:hAnsi="Cambria" w:eastAsia="仿宋_GB2312" w:cs="仿宋_GB2312"/>
          <w:kern w:val="0"/>
          <w:sz w:val="32"/>
          <w:szCs w:val="32"/>
        </w:rPr>
        <w:t>可分为财政拨款、财政性资金基本保证、财政性资金定额或定项补助、财政性资金零补助四类。</w:t>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jc w:val="left"/>
        <w:rPr>
          <w:rFonts w:cs="Times New Roman"/>
        </w:rPr>
        <w:sectPr>
          <w:headerReference r:id="rId11"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jc w:val="left"/>
        <w:rPr>
          <w:rFonts w:cs="Times New Roman"/>
        </w:rPr>
        <w:sectPr>
          <w:pgSz w:w="11906" w:h="16838"/>
          <w:pgMar w:top="2098" w:right="1474" w:bottom="1985" w:left="1588" w:header="851" w:footer="992" w:gutter="0"/>
          <w:pgNumType w:fmt="numberInDash"/>
          <w:cols w:space="425" w:num="1"/>
          <w:docGrid w:type="lines" w:linePitch="312" w:charSpace="0"/>
        </w:sectPr>
      </w:pPr>
      <w:r>
        <w:pict>
          <v:shape id="_x0000_s1044" o:spid="_x0000_s1044" o:spt="202" type="#_x0000_t202" style="position:absolute;left:0pt;margin-left:-82.05pt;margin-top:135.85pt;height:263.1pt;width:613.65pt;z-index:-251664384;v-text-anchor:middle;mso-width-relative:page;mso-height-relative:page;" fillcolor="#FFD966" filled="t" stroked="t" coordsize="21600,21600">
            <v:path/>
            <v:fill type="pattern" on="t" focussize="0,0"/>
            <v:stroke weight="0.5pt" color="#FFD966" joinstyle="round"/>
            <v:imagedata o:title=""/>
            <o:lock v:ext="edit"/>
            <v:textbox>
              <w:txbxContent>
                <w:p>
                  <w:pPr>
                    <w:widowControl/>
                    <w:jc w:val="center"/>
                    <w:rPr>
                      <w:rFonts w:ascii="黑体" w:hAnsi="黑体" w:eastAsia="黑体" w:cs="黑体"/>
                      <w:color w:val="000000"/>
                      <w:sz w:val="90"/>
                      <w:szCs w:val="90"/>
                    </w:rPr>
                  </w:pPr>
                  <w:r>
                    <w:rPr>
                      <w:rFonts w:hint="eastAsia" w:ascii="黑体" w:hAnsi="黑体" w:eastAsia="黑体" w:cs="黑体"/>
                      <w:color w:val="000000"/>
                      <w:sz w:val="90"/>
                      <w:szCs w:val="90"/>
                    </w:rPr>
                    <w:t>第四部分</w:t>
                  </w:r>
                  <w:r>
                    <w:rPr>
                      <w:rFonts w:ascii="黑体" w:hAnsi="黑体" w:eastAsia="黑体" w:cs="黑体"/>
                      <w:color w:val="000000"/>
                      <w:sz w:val="90"/>
                      <w:szCs w:val="90"/>
                    </w:rPr>
                    <w:t xml:space="preserve"> </w:t>
                  </w:r>
                </w:p>
                <w:p>
                  <w:pPr>
                    <w:widowControl/>
                    <w:jc w:val="center"/>
                    <w:rPr>
                      <w:rFonts w:cs="Times New Roman"/>
                    </w:rPr>
                  </w:pPr>
                  <w:r>
                    <w:rPr>
                      <w:rFonts w:ascii="黑体" w:hAnsi="黑体" w:eastAsia="黑体" w:cs="黑体"/>
                      <w:color w:val="000000"/>
                      <w:sz w:val="90"/>
                      <w:szCs w:val="90"/>
                    </w:rPr>
                    <w:t>2019</w:t>
                  </w:r>
                  <w:r>
                    <w:rPr>
                      <w:rFonts w:hint="eastAsia" w:ascii="黑体" w:hAnsi="黑体" w:eastAsia="黑体" w:cs="黑体"/>
                      <w:color w:val="000000"/>
                      <w:sz w:val="90"/>
                      <w:szCs w:val="90"/>
                    </w:rPr>
                    <w:t>年度部门决算报表</w:t>
                  </w:r>
                </w:p>
              </w:txbxContent>
            </v:textbox>
          </v:shape>
        </w:pic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见公开附表：</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一、收入支出决算总表（公开</w:t>
      </w:r>
      <w:r>
        <w:rPr>
          <w:rFonts w:ascii="仿宋_GB2312" w:hAnsi="仿宋_GB2312" w:eastAsia="仿宋_GB2312" w:cs="仿宋_GB2312"/>
          <w:sz w:val="32"/>
          <w:szCs w:val="32"/>
        </w:rPr>
        <w:t>01</w:t>
      </w:r>
      <w:r>
        <w:rPr>
          <w:rFonts w:hint="eastAsia" w:ascii="仿宋_GB2312" w:hAnsi="仿宋_GB2312" w:eastAsia="仿宋_GB2312" w:cs="仿宋_GB2312"/>
          <w:sz w:val="32"/>
          <w:szCs w:val="32"/>
        </w:rPr>
        <w:t>表）</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二、收入决算表（公开</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表）</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三、支出决算表（公开</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表）</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四、财政拨款收入支出决算总表（公开</w:t>
      </w:r>
      <w:r>
        <w:rPr>
          <w:rFonts w:ascii="仿宋_GB2312" w:hAnsi="仿宋_GB2312" w:eastAsia="仿宋_GB2312" w:cs="仿宋_GB2312"/>
          <w:sz w:val="32"/>
          <w:szCs w:val="32"/>
        </w:rPr>
        <w:t>04</w:t>
      </w:r>
      <w:r>
        <w:rPr>
          <w:rFonts w:hint="eastAsia" w:ascii="仿宋_GB2312" w:hAnsi="仿宋_GB2312" w:eastAsia="仿宋_GB2312" w:cs="仿宋_GB2312"/>
          <w:sz w:val="32"/>
          <w:szCs w:val="32"/>
        </w:rPr>
        <w:t>表）</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五、一般公共预算财政拨款支出决算表（公开</w:t>
      </w:r>
      <w:r>
        <w:rPr>
          <w:rFonts w:ascii="仿宋_GB2312" w:hAnsi="仿宋_GB2312" w:eastAsia="仿宋_GB2312" w:cs="仿宋_GB2312"/>
          <w:sz w:val="32"/>
          <w:szCs w:val="32"/>
        </w:rPr>
        <w:t>05</w:t>
      </w:r>
      <w:r>
        <w:rPr>
          <w:rFonts w:hint="eastAsia" w:ascii="仿宋_GB2312" w:hAnsi="仿宋_GB2312" w:eastAsia="仿宋_GB2312" w:cs="仿宋_GB2312"/>
          <w:sz w:val="32"/>
          <w:szCs w:val="32"/>
        </w:rPr>
        <w:t>表）</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六、一般公共预算财政拨款基本支出决算表（公开</w:t>
      </w:r>
      <w:r>
        <w:rPr>
          <w:rFonts w:ascii="仿宋_GB2312" w:hAnsi="仿宋_GB2312" w:eastAsia="仿宋_GB2312" w:cs="仿宋_GB2312"/>
          <w:sz w:val="32"/>
          <w:szCs w:val="32"/>
        </w:rPr>
        <w:t>06</w:t>
      </w:r>
      <w:r>
        <w:rPr>
          <w:rFonts w:hint="eastAsia" w:ascii="仿宋_GB2312" w:hAnsi="仿宋_GB2312" w:eastAsia="仿宋_GB2312" w:cs="仿宋_GB2312"/>
          <w:sz w:val="32"/>
          <w:szCs w:val="32"/>
        </w:rPr>
        <w:t>表）</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七、一般公共预算财政拨款“三公”经费支出决算表（公开</w:t>
      </w:r>
      <w:r>
        <w:rPr>
          <w:rFonts w:ascii="仿宋_GB2312" w:hAnsi="仿宋_GB2312" w:eastAsia="仿宋_GB2312" w:cs="仿宋_GB2312"/>
          <w:sz w:val="32"/>
          <w:szCs w:val="32"/>
        </w:rPr>
        <w:t>07</w:t>
      </w:r>
      <w:r>
        <w:rPr>
          <w:rFonts w:hint="eastAsia" w:ascii="仿宋_GB2312" w:hAnsi="仿宋_GB2312" w:eastAsia="仿宋_GB2312" w:cs="仿宋_GB2312"/>
          <w:sz w:val="32"/>
          <w:szCs w:val="32"/>
        </w:rPr>
        <w:t>表）</w:t>
      </w:r>
    </w:p>
    <w:p>
      <w:pPr>
        <w:rPr>
          <w:rFonts w:ascii="仿宋_GB2312" w:hAnsi="仿宋_GB2312" w:eastAsia="仿宋_GB2312" w:cs="Times New Roman"/>
          <w:sz w:val="32"/>
          <w:szCs w:val="32"/>
        </w:rPr>
      </w:pPr>
      <w:r>
        <w:rPr>
          <w:rFonts w:hint="eastAsia" w:ascii="仿宋_GB2312" w:hAnsi="仿宋_GB2312" w:eastAsia="仿宋_GB2312" w:cs="仿宋_GB2312"/>
          <w:sz w:val="32"/>
          <w:szCs w:val="32"/>
        </w:rPr>
        <w:t>八、政府性基金预算财政拨款收入支出决算表（公开</w:t>
      </w:r>
      <w:r>
        <w:rPr>
          <w:rFonts w:ascii="仿宋_GB2312" w:hAnsi="仿宋_GB2312" w:eastAsia="仿宋_GB2312" w:cs="仿宋_GB2312"/>
          <w:sz w:val="32"/>
          <w:szCs w:val="32"/>
        </w:rPr>
        <w:t>08</w:t>
      </w:r>
      <w:r>
        <w:rPr>
          <w:rFonts w:hint="eastAsia" w:ascii="仿宋_GB2312" w:hAnsi="仿宋_GB2312" w:eastAsia="仿宋_GB2312" w:cs="仿宋_GB2312"/>
          <w:sz w:val="32"/>
          <w:szCs w:val="32"/>
        </w:rPr>
        <w:t>表）</w:t>
      </w:r>
    </w:p>
    <w:p>
      <w:pPr>
        <w:rPr>
          <w:rFonts w:cs="Times New Roman"/>
        </w:rPr>
      </w:pPr>
      <w:r>
        <w:rPr>
          <w:rFonts w:hint="eastAsia" w:ascii="仿宋_GB2312" w:hAnsi="仿宋_GB2312" w:eastAsia="仿宋_GB2312" w:cs="仿宋_GB2312"/>
          <w:sz w:val="32"/>
          <w:szCs w:val="32"/>
        </w:rPr>
        <w:t>九、国有资本经营预算财政拨款支出决算表（公开</w:t>
      </w:r>
      <w:r>
        <w:rPr>
          <w:rFonts w:ascii="仿宋_GB2312" w:hAnsi="仿宋_GB2312" w:eastAsia="仿宋_GB2312" w:cs="仿宋_GB2312"/>
          <w:sz w:val="32"/>
          <w:szCs w:val="32"/>
        </w:rPr>
        <w:t>09</w:t>
      </w:r>
      <w:r>
        <w:rPr>
          <w:rFonts w:hint="eastAsia" w:ascii="仿宋_GB2312" w:hAnsi="仿宋_GB2312" w:eastAsia="仿宋_GB2312" w:cs="仿宋_GB2312"/>
          <w:sz w:val="32"/>
          <w:szCs w:val="32"/>
        </w:rPr>
        <w:t>表）。</w:t>
      </w:r>
      <w:r>
        <w:rPr>
          <w:rFonts w:cs="Times New Roman"/>
        </w:rPr>
        <w:br w:type="page"/>
      </w:r>
    </w:p>
    <w:p>
      <w:pPr>
        <w:rPr>
          <w:rFonts w:cs="Times New Roman"/>
        </w:rPr>
      </w:pPr>
    </w:p>
    <w:p>
      <w:pPr>
        <w:rPr>
          <w:rFonts w:cs="Times New Roman"/>
        </w:rPr>
      </w:pPr>
      <w:r>
        <w:pict>
          <v:rect id="_x0000_s1045" o:spid="_x0000_s1045" o:spt="1" style="position:absolute;left:0pt;margin-left:-70.5pt;margin-top:-85.25pt;height:841.15pt;width:595.1pt;z-index:251665408;v-text-anchor:middle;mso-width-relative:page;mso-height-relative:page;" fillcolor="#FFC000" filled="t" stroked="f" coordsize="21600,21600">
            <v:path/>
            <v:fill on="t" focussize="0,0"/>
            <v:stroke on="f" weight="1pt"/>
            <v:imagedata o:title=""/>
            <o:lock v:ext="edit"/>
          </v:rect>
        </w:pict>
      </w:r>
    </w:p>
    <w:sectPr>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AAF1C96"/>
    <w:rsid w:val="0007063E"/>
    <w:rsid w:val="00073392"/>
    <w:rsid w:val="00073F4E"/>
    <w:rsid w:val="00086C89"/>
    <w:rsid w:val="000A1699"/>
    <w:rsid w:val="000A39FB"/>
    <w:rsid w:val="000E68FA"/>
    <w:rsid w:val="00103779"/>
    <w:rsid w:val="00117746"/>
    <w:rsid w:val="00161E8C"/>
    <w:rsid w:val="00163F95"/>
    <w:rsid w:val="00180A9A"/>
    <w:rsid w:val="001829C0"/>
    <w:rsid w:val="00184809"/>
    <w:rsid w:val="00192112"/>
    <w:rsid w:val="001B0127"/>
    <w:rsid w:val="001C12D5"/>
    <w:rsid w:val="001C69F7"/>
    <w:rsid w:val="002650EC"/>
    <w:rsid w:val="002A2D18"/>
    <w:rsid w:val="002A2DB8"/>
    <w:rsid w:val="002A6C46"/>
    <w:rsid w:val="002B4636"/>
    <w:rsid w:val="002B7615"/>
    <w:rsid w:val="002C19B5"/>
    <w:rsid w:val="002F3031"/>
    <w:rsid w:val="003A4EE8"/>
    <w:rsid w:val="003C709D"/>
    <w:rsid w:val="00442CC2"/>
    <w:rsid w:val="00446244"/>
    <w:rsid w:val="00451554"/>
    <w:rsid w:val="004527DD"/>
    <w:rsid w:val="00473C20"/>
    <w:rsid w:val="0047562F"/>
    <w:rsid w:val="004D61CB"/>
    <w:rsid w:val="004E6A36"/>
    <w:rsid w:val="005011D6"/>
    <w:rsid w:val="00503F2E"/>
    <w:rsid w:val="00524AB6"/>
    <w:rsid w:val="00552226"/>
    <w:rsid w:val="00566120"/>
    <w:rsid w:val="00582E6D"/>
    <w:rsid w:val="005954D5"/>
    <w:rsid w:val="005A53FA"/>
    <w:rsid w:val="005D1293"/>
    <w:rsid w:val="00617C14"/>
    <w:rsid w:val="00634E60"/>
    <w:rsid w:val="00644D5F"/>
    <w:rsid w:val="006727AD"/>
    <w:rsid w:val="00691425"/>
    <w:rsid w:val="006A516E"/>
    <w:rsid w:val="006B0830"/>
    <w:rsid w:val="00716E2B"/>
    <w:rsid w:val="00770F18"/>
    <w:rsid w:val="00773B74"/>
    <w:rsid w:val="0078290C"/>
    <w:rsid w:val="007A5F7C"/>
    <w:rsid w:val="007C06CA"/>
    <w:rsid w:val="008163FB"/>
    <w:rsid w:val="0082605B"/>
    <w:rsid w:val="00855C36"/>
    <w:rsid w:val="00857DBE"/>
    <w:rsid w:val="008632D9"/>
    <w:rsid w:val="008701BC"/>
    <w:rsid w:val="00883D92"/>
    <w:rsid w:val="008A5362"/>
    <w:rsid w:val="008D4CFB"/>
    <w:rsid w:val="008F21F1"/>
    <w:rsid w:val="008F221B"/>
    <w:rsid w:val="008F5A2D"/>
    <w:rsid w:val="00904D99"/>
    <w:rsid w:val="00921602"/>
    <w:rsid w:val="00957EA1"/>
    <w:rsid w:val="00966E5B"/>
    <w:rsid w:val="00980AA9"/>
    <w:rsid w:val="00986E09"/>
    <w:rsid w:val="009B4EF0"/>
    <w:rsid w:val="009D271F"/>
    <w:rsid w:val="00A679E5"/>
    <w:rsid w:val="00A929C2"/>
    <w:rsid w:val="00AD097F"/>
    <w:rsid w:val="00B111FD"/>
    <w:rsid w:val="00B12D04"/>
    <w:rsid w:val="00B43B65"/>
    <w:rsid w:val="00B56D52"/>
    <w:rsid w:val="00B70D19"/>
    <w:rsid w:val="00B844F4"/>
    <w:rsid w:val="00BA06A1"/>
    <w:rsid w:val="00BA770A"/>
    <w:rsid w:val="00C054DE"/>
    <w:rsid w:val="00C32D7F"/>
    <w:rsid w:val="00C55D61"/>
    <w:rsid w:val="00C679A9"/>
    <w:rsid w:val="00C7212F"/>
    <w:rsid w:val="00C7541C"/>
    <w:rsid w:val="00C90D6F"/>
    <w:rsid w:val="00CC0FAA"/>
    <w:rsid w:val="00CD0736"/>
    <w:rsid w:val="00D1570F"/>
    <w:rsid w:val="00D32830"/>
    <w:rsid w:val="00D6085F"/>
    <w:rsid w:val="00D8175D"/>
    <w:rsid w:val="00DB7153"/>
    <w:rsid w:val="00DB73C7"/>
    <w:rsid w:val="00DB74AB"/>
    <w:rsid w:val="00DB7F05"/>
    <w:rsid w:val="00DE1155"/>
    <w:rsid w:val="00DE2D51"/>
    <w:rsid w:val="00E028C3"/>
    <w:rsid w:val="00E14F77"/>
    <w:rsid w:val="00E3076B"/>
    <w:rsid w:val="00E36978"/>
    <w:rsid w:val="00E82A1E"/>
    <w:rsid w:val="00EC06F4"/>
    <w:rsid w:val="00EE4E36"/>
    <w:rsid w:val="00F427AD"/>
    <w:rsid w:val="00F665F4"/>
    <w:rsid w:val="00FB0294"/>
    <w:rsid w:val="00FD225F"/>
    <w:rsid w:val="04903BC7"/>
    <w:rsid w:val="072F567B"/>
    <w:rsid w:val="0A4C26F0"/>
    <w:rsid w:val="2D0904DC"/>
    <w:rsid w:val="31C2036A"/>
    <w:rsid w:val="320D02A5"/>
    <w:rsid w:val="32B15012"/>
    <w:rsid w:val="330F1EB7"/>
    <w:rsid w:val="348E566F"/>
    <w:rsid w:val="3A226944"/>
    <w:rsid w:val="3AEE6A48"/>
    <w:rsid w:val="3C1620AA"/>
    <w:rsid w:val="3D8F080F"/>
    <w:rsid w:val="40672DE3"/>
    <w:rsid w:val="42B4553F"/>
    <w:rsid w:val="43A5077D"/>
    <w:rsid w:val="44CE1FA4"/>
    <w:rsid w:val="487F73ED"/>
    <w:rsid w:val="4A347EAE"/>
    <w:rsid w:val="4E854B5B"/>
    <w:rsid w:val="52600405"/>
    <w:rsid w:val="529B4319"/>
    <w:rsid w:val="57773DD6"/>
    <w:rsid w:val="578B79AB"/>
    <w:rsid w:val="5CCD3FD5"/>
    <w:rsid w:val="61FA5F9D"/>
    <w:rsid w:val="64CD6910"/>
    <w:rsid w:val="650F7365"/>
    <w:rsid w:val="6789158D"/>
    <w:rsid w:val="67D81BA4"/>
    <w:rsid w:val="68364404"/>
    <w:rsid w:val="6AAF1C96"/>
    <w:rsid w:val="75681757"/>
    <w:rsid w:val="75A346A8"/>
    <w:rsid w:val="79B9382C"/>
    <w:rsid w:val="7B043B76"/>
    <w:rsid w:val="7C041A6A"/>
    <w:rsid w:val="7E32757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1"/>
    <w:basedOn w:val="1"/>
    <w:next w:val="1"/>
    <w:link w:val="9"/>
    <w:qFormat/>
    <w:uiPriority w:val="99"/>
    <w:pPr>
      <w:keepNext/>
      <w:keepLines/>
      <w:spacing w:before="340" w:after="330" w:line="578" w:lineRule="auto"/>
      <w:outlineLvl w:val="0"/>
    </w:pPr>
    <w:rPr>
      <w:b/>
      <w:bCs/>
      <w:kern w:val="44"/>
      <w:sz w:val="44"/>
      <w:szCs w:val="44"/>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uiPriority w:val="99"/>
    <w:rPr>
      <w:rFonts w:ascii="仿宋_GB2312" w:hAnsi="仿宋_GB2312" w:eastAsia="仿宋_GB2312" w:cs="仿宋_GB2312"/>
      <w:sz w:val="32"/>
      <w:szCs w:val="32"/>
      <w:lang w:val="zh-CN"/>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basedOn w:val="6"/>
    <w:uiPriority w:val="99"/>
    <w:rPr>
      <w:rFonts w:cs="Calibri"/>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Heading 1 Char"/>
    <w:basedOn w:val="8"/>
    <w:link w:val="2"/>
    <w:locked/>
    <w:uiPriority w:val="99"/>
    <w:rPr>
      <w:rFonts w:ascii="等线" w:hAnsi="等线" w:eastAsia="等线" w:cs="等线"/>
      <w:b/>
      <w:bCs/>
      <w:kern w:val="44"/>
      <w:sz w:val="44"/>
      <w:szCs w:val="44"/>
    </w:rPr>
  </w:style>
  <w:style w:type="character" w:customStyle="1" w:styleId="10">
    <w:name w:val="Body Text Char"/>
    <w:basedOn w:val="8"/>
    <w:link w:val="3"/>
    <w:semiHidden/>
    <w:locked/>
    <w:uiPriority w:val="99"/>
    <w:rPr>
      <w:rFonts w:ascii="等线" w:hAnsi="等线" w:eastAsia="等线" w:cs="等线"/>
    </w:rPr>
  </w:style>
  <w:style w:type="character" w:customStyle="1" w:styleId="11">
    <w:name w:val="Footer Char"/>
    <w:basedOn w:val="8"/>
    <w:link w:val="4"/>
    <w:locked/>
    <w:uiPriority w:val="99"/>
    <w:rPr>
      <w:sz w:val="18"/>
      <w:szCs w:val="18"/>
    </w:rPr>
  </w:style>
  <w:style w:type="character" w:customStyle="1" w:styleId="12">
    <w:name w:val="Header Char"/>
    <w:basedOn w:val="8"/>
    <w:link w:val="5"/>
    <w:locked/>
    <w:uiPriority w:val="99"/>
    <w:rPr>
      <w:rFonts w:ascii="等线" w:hAnsi="等线" w:eastAsia="等线" w:cs="等线"/>
      <w:sz w:val="18"/>
      <w:szCs w:val="18"/>
    </w:rPr>
  </w:style>
  <w:style w:type="paragraph" w:customStyle="1" w:styleId="13">
    <w:name w:val="List Paragraph1"/>
    <w:basedOn w:val="1"/>
    <w:uiPriority w:val="99"/>
    <w:pPr>
      <w:spacing w:before="2"/>
      <w:ind w:left="119" w:right="434" w:firstLine="643"/>
    </w:pPr>
    <w:rPr>
      <w:rFonts w:ascii="仿宋_GB2312" w:hAnsi="仿宋_GB2312" w:eastAsia="仿宋_GB2312" w:cs="仿宋_GB2312"/>
      <w:lang w:val="zh-CN"/>
    </w:rPr>
  </w:style>
  <w:style w:type="paragraph" w:customStyle="1" w:styleId="14">
    <w:name w:val="Char"/>
    <w:basedOn w:val="1"/>
    <w:uiPriority w:val="99"/>
    <w:pPr>
      <w:widowControl/>
      <w:spacing w:after="160" w:line="240" w:lineRule="exact"/>
      <w:jc w:val="left"/>
    </w:pPr>
    <w:rPr>
      <w:rFonts w:ascii="Arial" w:hAnsi="Arial" w:eastAsia="仿宋_GB2312" w:cs="Arial"/>
      <w:b/>
      <w:bCs/>
      <w:kern w:val="0"/>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1"/>
    <customShpInfo spid="_x0000_s1032"/>
    <customShpInfo spid="_x0000_s1030"/>
    <customShpInfo spid="_x0000_s1034"/>
    <customShpInfo spid="_x0000_s1035"/>
    <customShpInfo spid="_x0000_s1033"/>
    <customShpInfo spid="_x0000_s1036"/>
    <customShpInfo spid="_x0000_s1037"/>
    <customShpInfo spid="_x0000_s1038"/>
    <customShpInfo spid="_x0000_s1039"/>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www.ftpdown.com</Company>
  <Pages>23</Pages>
  <Words>995</Words>
  <Characters>5674</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24582</cp:lastModifiedBy>
  <cp:lastPrinted>2020-07-30T02:37:00Z</cp:lastPrinted>
  <dcterms:modified xsi:type="dcterms:W3CDTF">2020-08-14T07:16:44Z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